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85CB" w14:textId="6E1C48FA" w:rsidR="003E5F5D" w:rsidRPr="003E5F5D" w:rsidRDefault="003E5F5D" w:rsidP="00832B47">
      <w:pPr>
        <w:jc w:val="both"/>
        <w:rPr>
          <w:b/>
          <w:bCs/>
        </w:rPr>
      </w:pPr>
      <w:r w:rsidRPr="003E5F5D">
        <w:rPr>
          <w:b/>
        </w:rPr>
        <w:t>Nuclear Industry Association Response to the Energy Security and Net Zero</w:t>
      </w:r>
      <w:r>
        <w:rPr>
          <w:b/>
        </w:rPr>
        <w:t xml:space="preserve"> Committee</w:t>
      </w:r>
      <w:r>
        <w:rPr>
          <w:b/>
          <w:bCs/>
        </w:rPr>
        <w:t xml:space="preserve">’s </w:t>
      </w:r>
      <w:r w:rsidRPr="003E5F5D">
        <w:rPr>
          <w:b/>
          <w:bCs/>
        </w:rPr>
        <w:t xml:space="preserve">‘National planning for energy infrastructure’ </w:t>
      </w:r>
      <w:r>
        <w:rPr>
          <w:b/>
          <w:bCs/>
        </w:rPr>
        <w:t>I</w:t>
      </w:r>
      <w:r w:rsidRPr="003E5F5D">
        <w:rPr>
          <w:b/>
          <w:bCs/>
        </w:rPr>
        <w:t>nquiry.</w:t>
      </w:r>
    </w:p>
    <w:p w14:paraId="3D1B705F" w14:textId="398C186F" w:rsidR="003E5F5D" w:rsidRPr="003E5F5D" w:rsidRDefault="003E5F5D" w:rsidP="00832B47">
      <w:pPr>
        <w:jc w:val="both"/>
      </w:pPr>
      <w:r w:rsidRPr="003E5F5D">
        <w:t xml:space="preserve">The Nuclear Industry Association (NIA) welcomes the opportunity to respond to </w:t>
      </w:r>
      <w:r w:rsidRPr="003E5F5D">
        <w:rPr>
          <w:bCs/>
        </w:rPr>
        <w:t>Energy Security and Net Zero Committee’s ‘National planning for energy infrastructure’</w:t>
      </w:r>
      <w:r>
        <w:t xml:space="preserve"> inquiry. </w:t>
      </w:r>
      <w:r w:rsidRPr="003E5F5D">
        <w:rPr>
          <w:bCs/>
        </w:rPr>
        <w:t xml:space="preserve"> </w:t>
      </w:r>
    </w:p>
    <w:p w14:paraId="60B2CC1E" w14:textId="77777777" w:rsidR="003E5F5D" w:rsidRPr="003E5F5D" w:rsidRDefault="003E5F5D" w:rsidP="00832B47">
      <w:pPr>
        <w:jc w:val="both"/>
      </w:pPr>
      <w:r w:rsidRPr="003E5F5D">
        <w:t xml:space="preserve">The NIA is the trade association and representative body for the civil nuclear industry in the UK. We represent more than 300 companies operating across all aspects of the nuclear fuel cycle, including the current and prospective operators of nuclear power stations, international designers, and vendors of nuclear power stations, and those engaged in decommissioning, waste management and nuclear liabilities management. Members also include nuclear equipment suppliers, engineering and construction firms, nuclear research organisations, and legal, financial and consultancy companies. </w:t>
      </w:r>
    </w:p>
    <w:p w14:paraId="464D9269" w14:textId="77777777" w:rsidR="003E5F5D" w:rsidRPr="003E5F5D" w:rsidRDefault="003E5F5D" w:rsidP="00832B47">
      <w:pPr>
        <w:jc w:val="both"/>
      </w:pPr>
      <w:r w:rsidRPr="003E5F5D">
        <w:t>Due to the diversity of our membership, our views in this submission will cover high-level, industrywide matters. Our members may choose to make their own detailed submissions.</w:t>
      </w:r>
    </w:p>
    <w:p w14:paraId="2AB55C05" w14:textId="77777777" w:rsidR="00725CC4" w:rsidRDefault="003E5F5D" w:rsidP="00832B47">
      <w:pPr>
        <w:jc w:val="both"/>
        <w:rPr>
          <w:b/>
          <w:bCs/>
          <w:u w:val="single"/>
        </w:rPr>
      </w:pPr>
      <w:r w:rsidRPr="00FB0962">
        <w:rPr>
          <w:b/>
          <w:bCs/>
          <w:u w:val="single"/>
        </w:rPr>
        <w:t>Executive summary</w:t>
      </w:r>
      <w:bookmarkStart w:id="0" w:name="_Hlk197421356"/>
    </w:p>
    <w:p w14:paraId="0991EE3B" w14:textId="7A26CBB9" w:rsidR="00751EA7" w:rsidRPr="00BF3FB2" w:rsidRDefault="00751EA7" w:rsidP="00832B47">
      <w:pPr>
        <w:jc w:val="both"/>
        <w:rPr>
          <w:rFonts w:ascii="Times New Roman" w:eastAsia="Times New Roman" w:hAnsi="Times New Roman" w:cs="Times New Roman"/>
          <w:kern w:val="0"/>
          <w:sz w:val="24"/>
          <w:szCs w:val="24"/>
          <w:lang w:eastAsia="en-GB"/>
          <w14:ligatures w14:val="none"/>
        </w:rPr>
      </w:pPr>
      <w:r w:rsidRPr="00751EA7">
        <w:t>We welcome the</w:t>
      </w:r>
      <w:r>
        <w:t xml:space="preserve"> alignment of the </w:t>
      </w:r>
      <w:r w:rsidR="0099213C">
        <w:t xml:space="preserve">Overarching </w:t>
      </w:r>
      <w:r>
        <w:t>National Policy Statement for Energy</w:t>
      </w:r>
      <w:r w:rsidR="007D2E18">
        <w:t xml:space="preserve"> (EN-1) </w:t>
      </w:r>
      <w:r>
        <w:t>with the Clean Power 2030 Action Pla</w:t>
      </w:r>
      <w:r w:rsidR="004B7D42">
        <w:t>n</w:t>
      </w:r>
      <w:r w:rsidR="00AC250C">
        <w:t xml:space="preserve"> and the objective of reaching</w:t>
      </w:r>
      <w:r w:rsidR="009C31E4">
        <w:t xml:space="preserve"> </w:t>
      </w:r>
      <w:r w:rsidR="008C1494">
        <w:t>N</w:t>
      </w:r>
      <w:r w:rsidR="009C31E4">
        <w:t xml:space="preserve">et </w:t>
      </w:r>
      <w:r w:rsidR="008C1494">
        <w:t>Z</w:t>
      </w:r>
      <w:r w:rsidR="009C31E4">
        <w:t>ero</w:t>
      </w:r>
      <w:r w:rsidR="00C76E2D">
        <w:t>. As recognised by the Government in EN-1, nuclear “</w:t>
      </w:r>
      <w:r w:rsidR="00C76E2D" w:rsidRPr="00C76E2D">
        <w:t>provides the UK with continuous, reliable, safe low-carbon power</w:t>
      </w:r>
      <w:r w:rsidR="00C76E2D">
        <w:t>” and “</w:t>
      </w:r>
      <w:r w:rsidR="00C76E2D" w:rsidRPr="00C76E2D">
        <w:t>additional nuclear beyond Hinkley Point C will be needed to meet our energy and Net Zero objectives</w:t>
      </w:r>
      <w:r w:rsidR="00C76E2D">
        <w:t>”</w:t>
      </w:r>
      <w:r w:rsidR="00C76E2D" w:rsidRPr="00C76E2D">
        <w:t>.</w:t>
      </w:r>
      <w:r w:rsidR="00BE57F5">
        <w:rPr>
          <w:rStyle w:val="FootnoteReference"/>
        </w:rPr>
        <w:footnoteReference w:id="1"/>
      </w:r>
      <w:r w:rsidR="00B32EF8">
        <w:t xml:space="preserve"> We </w:t>
      </w:r>
      <w:r w:rsidR="00C90D08">
        <w:t>welcome</w:t>
      </w:r>
      <w:r w:rsidR="00CF2A71">
        <w:t>d</w:t>
      </w:r>
      <w:r w:rsidR="00C90D08">
        <w:t xml:space="preserve"> </w:t>
      </w:r>
      <w:r w:rsidR="00B32EF8">
        <w:t xml:space="preserve">the inclusion of nuclear in </w:t>
      </w:r>
      <w:r w:rsidR="00C90D08">
        <w:t>the C</w:t>
      </w:r>
      <w:r w:rsidR="00B32EF8">
        <w:t xml:space="preserve">ritical </w:t>
      </w:r>
      <w:r w:rsidR="00C90D08">
        <w:t>N</w:t>
      </w:r>
      <w:r w:rsidR="00B32EF8">
        <w:t xml:space="preserve">ational </w:t>
      </w:r>
      <w:r w:rsidR="00C90D08">
        <w:t>P</w:t>
      </w:r>
      <w:r w:rsidR="00B32EF8">
        <w:t>riority (CNP) policy</w:t>
      </w:r>
      <w:r w:rsidR="00C90D08">
        <w:t xml:space="preserve"> </w:t>
      </w:r>
      <w:r w:rsidR="00BE57F5">
        <w:t>intended to</w:t>
      </w:r>
      <w:r w:rsidR="000A328D">
        <w:t xml:space="preserve"> reduce delays in deployment of low carbon infrastructure</w:t>
      </w:r>
      <w:r w:rsidR="003163D5">
        <w:t>. We urge Government to streamline the consenting process</w:t>
      </w:r>
      <w:r w:rsidR="006C5C94">
        <w:t xml:space="preserve"> for nuclear projects</w:t>
      </w:r>
      <w:r w:rsidR="000A328D">
        <w:t xml:space="preserve">, and balance considerations of environmental risks versus benefits in the context of climate change to support nuclear deployment in the leadup to Net Zero by 2050. </w:t>
      </w:r>
      <w:r w:rsidR="00BF3FB2" w:rsidRPr="00BF3FB2">
        <w:rPr>
          <w:rFonts w:eastAsia="Times New Roman" w:cs="Arial"/>
          <w:kern w:val="0"/>
          <w:lang w:eastAsia="en-GB"/>
          <w14:ligatures w14:val="none"/>
        </w:rPr>
        <w:t>The leading cause of habitat loss and biodiversity loss is climate change, so it is imperative of deploy low carbon energy at speed and at scale to protect the natural environment. The National Policy Statements must reflect this reality in balancing the benefits of low carbon energy with the local and often temporary environmental impacts of deployment</w:t>
      </w:r>
    </w:p>
    <w:bookmarkEnd w:id="0"/>
    <w:p w14:paraId="03261A9D" w14:textId="77777777" w:rsidR="003E5F5D" w:rsidRPr="00FB0962" w:rsidRDefault="003E5F5D" w:rsidP="00832B47">
      <w:pPr>
        <w:jc w:val="both"/>
        <w:rPr>
          <w:b/>
          <w:bCs/>
          <w:u w:val="single"/>
        </w:rPr>
      </w:pPr>
      <w:r w:rsidRPr="00FB0962">
        <w:rPr>
          <w:b/>
          <w:bCs/>
          <w:u w:val="single"/>
        </w:rPr>
        <w:t>Clean Power 2030  </w:t>
      </w:r>
    </w:p>
    <w:p w14:paraId="67D7A6F7" w14:textId="77777777" w:rsidR="003E5F5D" w:rsidRPr="0016535A" w:rsidRDefault="003E5F5D" w:rsidP="00832B47">
      <w:pPr>
        <w:jc w:val="both"/>
      </w:pPr>
      <w:r w:rsidRPr="0016535A">
        <w:t>The Government's Clean Power 2030 Action Plan stated that, to achieve this target, most new electricity transmission and offshore wind projects will need to secure planning consent by 2026, and most large-scale onshore renewable projects will need to do so by 2028.  </w:t>
      </w:r>
    </w:p>
    <w:p w14:paraId="572D38D5" w14:textId="77777777" w:rsidR="003E5F5D" w:rsidRPr="00FB0962" w:rsidRDefault="003E5F5D" w:rsidP="00832B47">
      <w:pPr>
        <w:numPr>
          <w:ilvl w:val="0"/>
          <w:numId w:val="1"/>
        </w:numPr>
        <w:spacing w:after="0"/>
        <w:jc w:val="both"/>
        <w:rPr>
          <w:b/>
          <w:bCs/>
        </w:rPr>
      </w:pPr>
      <w:r w:rsidRPr="00FB0962">
        <w:rPr>
          <w:b/>
          <w:bCs/>
        </w:rPr>
        <w:t>Do the draft updated energy National Policy Statements provide clear enough guidance to planning decision-makers, to allow them to prioritise nationally significant infrastructure projects that must secure development consent within these timescales?</w:t>
      </w:r>
    </w:p>
    <w:p w14:paraId="2EFDB6E4" w14:textId="40C0A622" w:rsidR="0016535A" w:rsidRDefault="0016535A" w:rsidP="00832B47">
      <w:pPr>
        <w:numPr>
          <w:ilvl w:val="1"/>
          <w:numId w:val="1"/>
        </w:numPr>
        <w:spacing w:after="0"/>
        <w:jc w:val="both"/>
      </w:pPr>
      <w:r>
        <w:t xml:space="preserve">No comment. </w:t>
      </w:r>
    </w:p>
    <w:p w14:paraId="060CE1D0" w14:textId="77777777" w:rsidR="0016535A" w:rsidRPr="0016535A" w:rsidRDefault="0016535A" w:rsidP="00832B47">
      <w:pPr>
        <w:spacing w:after="0"/>
        <w:jc w:val="both"/>
      </w:pPr>
    </w:p>
    <w:p w14:paraId="7CEA31D2" w14:textId="77777777" w:rsidR="003E5F5D" w:rsidRPr="00FB0962" w:rsidRDefault="003E5F5D" w:rsidP="00832B47">
      <w:pPr>
        <w:jc w:val="both"/>
        <w:rPr>
          <w:b/>
          <w:bCs/>
          <w:u w:val="single"/>
        </w:rPr>
      </w:pPr>
      <w:r w:rsidRPr="00FB0962">
        <w:rPr>
          <w:b/>
          <w:bCs/>
          <w:u w:val="single"/>
        </w:rPr>
        <w:t>Strategic planning  </w:t>
      </w:r>
    </w:p>
    <w:p w14:paraId="3F863B74" w14:textId="77777777" w:rsidR="003E5F5D" w:rsidRDefault="003E5F5D" w:rsidP="00832B47">
      <w:pPr>
        <w:numPr>
          <w:ilvl w:val="0"/>
          <w:numId w:val="1"/>
        </w:numPr>
        <w:jc w:val="both"/>
        <w:rPr>
          <w:b/>
          <w:bCs/>
        </w:rPr>
      </w:pPr>
      <w:r w:rsidRPr="00E44B1D">
        <w:rPr>
          <w:b/>
          <w:bCs/>
        </w:rPr>
        <w:lastRenderedPageBreak/>
        <w:t>How should the National Policy Statements for energy infrastructure interact with the strategic energy and network plans currently being developed by the National Energy System Operator? For example, the Strategic Spatial Energy Plan and the Centralised Strategic Network Plan. Is this relationship sufficiently clear?  </w:t>
      </w:r>
    </w:p>
    <w:p w14:paraId="7A800A2B" w14:textId="6322A14B" w:rsidR="006F4891" w:rsidRDefault="00DC2684" w:rsidP="00832B47">
      <w:pPr>
        <w:numPr>
          <w:ilvl w:val="1"/>
          <w:numId w:val="1"/>
        </w:numPr>
        <w:spacing w:after="0"/>
        <w:jc w:val="both"/>
      </w:pPr>
      <w:r>
        <w:t xml:space="preserve">The relationship is not sufficiently clear at present. </w:t>
      </w:r>
      <w:r w:rsidR="000429F5" w:rsidRPr="000429F5">
        <w:t xml:space="preserve">We </w:t>
      </w:r>
      <w:r w:rsidR="000429F5">
        <w:t xml:space="preserve">urge Government to ensure that the </w:t>
      </w:r>
      <w:r w:rsidR="000429F5" w:rsidRPr="000429F5">
        <w:t>National Policy Statements for energy infrastructure, and the strategic energy and network plans</w:t>
      </w:r>
      <w:r w:rsidR="000429F5">
        <w:t xml:space="preserve"> developed by the National Energy System Operator are aligned to support </w:t>
      </w:r>
      <w:r w:rsidR="006F4891">
        <w:t xml:space="preserve">nuclear deployment in the lead up to </w:t>
      </w:r>
      <w:r w:rsidR="000429F5">
        <w:t>Net Zero by 2050</w:t>
      </w:r>
      <w:r w:rsidR="00CD6868">
        <w:t>.</w:t>
      </w:r>
    </w:p>
    <w:p w14:paraId="18DE4249" w14:textId="7C97B6E8" w:rsidR="00A43B42" w:rsidRDefault="00A8472F" w:rsidP="00832B47">
      <w:pPr>
        <w:numPr>
          <w:ilvl w:val="2"/>
          <w:numId w:val="1"/>
        </w:numPr>
        <w:spacing w:after="0"/>
        <w:jc w:val="both"/>
      </w:pPr>
      <w:r>
        <w:t xml:space="preserve">We welcome </w:t>
      </w:r>
      <w:r w:rsidR="009C0A40">
        <w:t xml:space="preserve">the </w:t>
      </w:r>
      <w:r w:rsidR="008C1CED">
        <w:t xml:space="preserve">Government’s recognition of the </w:t>
      </w:r>
      <w:r w:rsidR="0048798A">
        <w:t xml:space="preserve">vital role of nuclear </w:t>
      </w:r>
      <w:r w:rsidR="00AA3DDF">
        <w:t>in the energy transition</w:t>
      </w:r>
      <w:r w:rsidR="002A270D">
        <w:t xml:space="preserve"> in EN-1</w:t>
      </w:r>
      <w:r w:rsidR="009309BB">
        <w:t>, and urge Government to ensure that</w:t>
      </w:r>
      <w:r w:rsidR="008C1CED">
        <w:t xml:space="preserve"> </w:t>
      </w:r>
      <w:r w:rsidR="008D045E">
        <w:t>nuclear</w:t>
      </w:r>
      <w:r w:rsidR="002D2CB5">
        <w:t xml:space="preserve"> is </w:t>
      </w:r>
      <w:r w:rsidR="006D6A65">
        <w:t xml:space="preserve">also </w:t>
      </w:r>
      <w:r w:rsidR="002D2CB5">
        <w:t>prominently represented in the SSEP</w:t>
      </w:r>
      <w:r w:rsidR="00C37657">
        <w:t>.</w:t>
      </w:r>
      <w:r w:rsidR="00A12527">
        <w:t xml:space="preserve"> </w:t>
      </w:r>
    </w:p>
    <w:p w14:paraId="00BB8C0A" w14:textId="77777777" w:rsidR="009E4271" w:rsidRDefault="00E45C03" w:rsidP="00832B47">
      <w:pPr>
        <w:numPr>
          <w:ilvl w:val="1"/>
          <w:numId w:val="1"/>
        </w:numPr>
        <w:spacing w:after="0"/>
        <w:jc w:val="both"/>
      </w:pPr>
      <w:r>
        <w:t>NESO’s consideration</w:t>
      </w:r>
      <w:r w:rsidR="002A2C7F">
        <w:t xml:space="preserve"> of new nuclear deployment to support their modelling and strategic energy planning should take into account:</w:t>
      </w:r>
    </w:p>
    <w:p w14:paraId="76151B46" w14:textId="5E1C5506" w:rsidR="00E47842" w:rsidRDefault="00FD4D2E" w:rsidP="00832B47">
      <w:pPr>
        <w:pStyle w:val="ListParagraph"/>
        <w:numPr>
          <w:ilvl w:val="2"/>
          <w:numId w:val="1"/>
        </w:numPr>
        <w:spacing w:after="0"/>
        <w:jc w:val="both"/>
      </w:pPr>
      <w:r>
        <w:t>Prevailing regulatory requirements for siting new nuclear</w:t>
      </w:r>
      <w:r w:rsidR="000A0BDC">
        <w:t xml:space="preserve">. </w:t>
      </w:r>
    </w:p>
    <w:p w14:paraId="42D29782" w14:textId="7F65ECB7" w:rsidR="009E4271" w:rsidRDefault="00222425" w:rsidP="00832B47">
      <w:pPr>
        <w:pStyle w:val="ListParagraph"/>
        <w:numPr>
          <w:ilvl w:val="2"/>
          <w:numId w:val="1"/>
        </w:numPr>
        <w:jc w:val="both"/>
      </w:pPr>
      <w:r w:rsidRPr="00222425">
        <w:t>Traditional nuclear siting hierarchy, plus a consideration to alternative thinking and approaches enabled by EN-7</w:t>
      </w:r>
      <w:r w:rsidR="001E3B57">
        <w:t xml:space="preserve">. </w:t>
      </w:r>
    </w:p>
    <w:p w14:paraId="2C2A1AAC" w14:textId="77777777" w:rsidR="007907E5" w:rsidRPr="000429F5" w:rsidRDefault="007907E5" w:rsidP="00832B47">
      <w:pPr>
        <w:spacing w:after="0"/>
        <w:jc w:val="both"/>
      </w:pPr>
    </w:p>
    <w:p w14:paraId="2349AB7E" w14:textId="1741C1D6" w:rsidR="00FE11F7" w:rsidRDefault="003E5F5D" w:rsidP="00832B47">
      <w:pPr>
        <w:pStyle w:val="ListParagraph"/>
        <w:numPr>
          <w:ilvl w:val="0"/>
          <w:numId w:val="1"/>
        </w:numPr>
        <w:jc w:val="both"/>
        <w:rPr>
          <w:b/>
          <w:bCs/>
        </w:rPr>
      </w:pPr>
      <w:r w:rsidRPr="001946C6">
        <w:rPr>
          <w:b/>
          <w:bCs/>
        </w:rPr>
        <w:t>How should the National Policy Statements take account of emerging government policies affecting energy infrastructure projects and spatial management, such as the Planning and Infrastructure Bill and the Land Use Framework? Are any issues particularly relevant?  </w:t>
      </w:r>
    </w:p>
    <w:p w14:paraId="711DFD30" w14:textId="598DCA93" w:rsidR="00103B11" w:rsidRPr="009C31E4" w:rsidRDefault="00103B11" w:rsidP="00832B47">
      <w:pPr>
        <w:pStyle w:val="ListParagraph"/>
        <w:numPr>
          <w:ilvl w:val="1"/>
          <w:numId w:val="1"/>
        </w:numPr>
        <w:jc w:val="both"/>
      </w:pPr>
      <w:r w:rsidRPr="009C31E4">
        <w:t xml:space="preserve">Yes. </w:t>
      </w:r>
      <w:r w:rsidR="002A4CDC" w:rsidRPr="009C31E4">
        <w:t>It is critical that t</w:t>
      </w:r>
      <w:r w:rsidRPr="009C31E4">
        <w:t>he P</w:t>
      </w:r>
      <w:r w:rsidR="009C31E4">
        <w:t xml:space="preserve">lanning </w:t>
      </w:r>
      <w:r w:rsidRPr="009C31E4">
        <w:t>&amp;</w:t>
      </w:r>
      <w:r w:rsidR="009C31E4">
        <w:t xml:space="preserve"> Infrastructure</w:t>
      </w:r>
      <w:r w:rsidRPr="009C31E4">
        <w:t xml:space="preserve"> Bill</w:t>
      </w:r>
      <w:r w:rsidR="005D56FB" w:rsidRPr="009C31E4">
        <w:t xml:space="preserve"> and Land Use Framework</w:t>
      </w:r>
      <w:r w:rsidRPr="009C31E4">
        <w:t xml:space="preserve"> should be taken into account</w:t>
      </w:r>
      <w:r w:rsidR="002A4CDC" w:rsidRPr="009C31E4">
        <w:t xml:space="preserve"> and reflected in the National Policy Statements</w:t>
      </w:r>
      <w:r w:rsidRPr="009C31E4">
        <w:t xml:space="preserve">. </w:t>
      </w:r>
      <w:r w:rsidR="00521B6D" w:rsidRPr="009C31E4">
        <w:t xml:space="preserve">The </w:t>
      </w:r>
      <w:r w:rsidR="005D56FB" w:rsidRPr="009C31E4">
        <w:t>P</w:t>
      </w:r>
      <w:r w:rsidR="009C31E4">
        <w:t xml:space="preserve">lanning </w:t>
      </w:r>
      <w:r w:rsidR="005D56FB" w:rsidRPr="009C31E4">
        <w:t>&amp;</w:t>
      </w:r>
      <w:r w:rsidR="009C31E4">
        <w:t xml:space="preserve"> </w:t>
      </w:r>
      <w:r w:rsidR="005D56FB" w:rsidRPr="009C31E4">
        <w:t>I</w:t>
      </w:r>
      <w:r w:rsidR="009C31E4">
        <w:t>nfrastructure</w:t>
      </w:r>
      <w:r w:rsidR="005D56FB" w:rsidRPr="009C31E4">
        <w:t xml:space="preserve"> </w:t>
      </w:r>
      <w:r w:rsidR="009C31E4">
        <w:t>B</w:t>
      </w:r>
      <w:r w:rsidR="00521B6D" w:rsidRPr="009C31E4">
        <w:t xml:space="preserve">ill will </w:t>
      </w:r>
      <w:r w:rsidR="007A61DD" w:rsidRPr="009C31E4">
        <w:t>introduce Environmental Development Plans</w:t>
      </w:r>
      <w:r w:rsidR="002E0D81" w:rsidRPr="009C31E4">
        <w:t xml:space="preserve"> (EDPs) </w:t>
      </w:r>
      <w:r w:rsidR="00DD269A" w:rsidRPr="009C31E4">
        <w:t>that will need to be comprehensive and</w:t>
      </w:r>
      <w:r w:rsidR="00240533" w:rsidRPr="009C31E4">
        <w:t xml:space="preserve"> require clear</w:t>
      </w:r>
      <w:r w:rsidR="00F67B6A" w:rsidRPr="009C31E4">
        <w:t xml:space="preserve"> legislative and non-legislative</w:t>
      </w:r>
      <w:r w:rsidR="00240533" w:rsidRPr="009C31E4">
        <w:t xml:space="preserve"> support to ensure their success. </w:t>
      </w:r>
      <w:r w:rsidR="005D1071" w:rsidRPr="009C31E4">
        <w:t xml:space="preserve">National Policy Statements should clearly outline </w:t>
      </w:r>
      <w:r w:rsidR="00FD1077" w:rsidRPr="009C31E4">
        <w:t>the role of EDPs</w:t>
      </w:r>
      <w:r w:rsidR="00A17447" w:rsidRPr="009C31E4">
        <w:t xml:space="preserve">. </w:t>
      </w:r>
    </w:p>
    <w:p w14:paraId="344A068A" w14:textId="66D6C046" w:rsidR="00C13080" w:rsidRPr="009C31E4" w:rsidRDefault="00D4377F" w:rsidP="00832B47">
      <w:pPr>
        <w:pStyle w:val="ListParagraph"/>
        <w:numPr>
          <w:ilvl w:val="1"/>
          <w:numId w:val="1"/>
        </w:numPr>
        <w:jc w:val="both"/>
      </w:pPr>
      <w:r w:rsidRPr="009C31E4">
        <w:t>Streamlining of the planning process should be outlined</w:t>
      </w:r>
      <w:r w:rsidR="00F41853" w:rsidRPr="009C31E4">
        <w:t xml:space="preserve"> and supported clearly</w:t>
      </w:r>
      <w:r w:rsidRPr="009C31E4">
        <w:t xml:space="preserve"> </w:t>
      </w:r>
      <w:r w:rsidR="00A932C8" w:rsidRPr="009C31E4">
        <w:t xml:space="preserve">in the National Policy Statements. </w:t>
      </w:r>
      <w:r w:rsidR="00F41853" w:rsidRPr="009C31E4">
        <w:t>Legislative decisions in the P</w:t>
      </w:r>
      <w:r w:rsidR="009C31E4">
        <w:t xml:space="preserve">lanning </w:t>
      </w:r>
      <w:r w:rsidR="00F41853" w:rsidRPr="009C31E4">
        <w:t>&amp;</w:t>
      </w:r>
      <w:r w:rsidR="009C31E4">
        <w:t xml:space="preserve"> </w:t>
      </w:r>
      <w:r w:rsidR="00F41853" w:rsidRPr="009C31E4">
        <w:t>I</w:t>
      </w:r>
      <w:r w:rsidR="009C31E4">
        <w:t>nfrastructure</w:t>
      </w:r>
      <w:r w:rsidR="00F41853" w:rsidRPr="009C31E4">
        <w:t xml:space="preserve"> Bill to </w:t>
      </w:r>
      <w:r w:rsidR="00660620" w:rsidRPr="009C31E4">
        <w:t>reduce consultation requirements and speed up planning approval processes must be included to ensure clarity</w:t>
      </w:r>
      <w:r w:rsidR="006740EA" w:rsidRPr="009C31E4">
        <w:t xml:space="preserve"> for planners, developers and wider stakeholders. </w:t>
      </w:r>
    </w:p>
    <w:p w14:paraId="2D062474" w14:textId="77777777" w:rsidR="000429F5" w:rsidRPr="00E44B1D" w:rsidRDefault="000429F5" w:rsidP="00832B47">
      <w:pPr>
        <w:jc w:val="both"/>
        <w:rPr>
          <w:b/>
          <w:bCs/>
        </w:rPr>
      </w:pPr>
    </w:p>
    <w:p w14:paraId="6DB89553" w14:textId="77777777" w:rsidR="003E5F5D" w:rsidRPr="00FB0962" w:rsidRDefault="003E5F5D" w:rsidP="00832B47">
      <w:pPr>
        <w:jc w:val="both"/>
        <w:rPr>
          <w:b/>
          <w:bCs/>
          <w:u w:val="single"/>
        </w:rPr>
      </w:pPr>
      <w:r w:rsidRPr="00FB0962">
        <w:rPr>
          <w:b/>
          <w:bCs/>
          <w:u w:val="single"/>
        </w:rPr>
        <w:t>The 2024 updates to the National Policy Statements for energy (EN-1 to EN-5)  </w:t>
      </w:r>
    </w:p>
    <w:p w14:paraId="5D4575C8" w14:textId="77777777" w:rsidR="003E5F5D" w:rsidRPr="00CF2A71" w:rsidRDefault="003E5F5D" w:rsidP="00832B47">
      <w:pPr>
        <w:numPr>
          <w:ilvl w:val="0"/>
          <w:numId w:val="1"/>
        </w:numPr>
        <w:spacing w:after="0"/>
        <w:jc w:val="both"/>
        <w:rPr>
          <w:b/>
          <w:bCs/>
        </w:rPr>
      </w:pPr>
      <w:r w:rsidRPr="00CF2A71">
        <w:rPr>
          <w:b/>
          <w:bCs/>
        </w:rPr>
        <w:t>What are the most important changes needed to these National Policy Statements since the last update in 2024 and do the Government’s proposed drafts deliver these?  </w:t>
      </w:r>
    </w:p>
    <w:p w14:paraId="574ADD37" w14:textId="50394590" w:rsidR="006F4FAF" w:rsidRDefault="00CF2A71" w:rsidP="00832B47">
      <w:pPr>
        <w:numPr>
          <w:ilvl w:val="1"/>
          <w:numId w:val="1"/>
        </w:numPr>
        <w:spacing w:after="0"/>
        <w:jc w:val="both"/>
      </w:pPr>
      <w:r w:rsidRPr="00CF2A71">
        <w:t>We welcome the alignment of EN-1 with the Clean Power 2030 Action Plan and the objective of reaching</w:t>
      </w:r>
      <w:r w:rsidR="007D2E18">
        <w:t xml:space="preserve"> net zero</w:t>
      </w:r>
      <w:r w:rsidR="006F4FAF">
        <w:t xml:space="preserve">. </w:t>
      </w:r>
      <w:r w:rsidR="00861C70">
        <w:t xml:space="preserve">The alignment of EN-1 with these objectives is an important </w:t>
      </w:r>
      <w:r w:rsidR="00D754BB">
        <w:t xml:space="preserve">development </w:t>
      </w:r>
      <w:r w:rsidR="001946C6">
        <w:t xml:space="preserve">in the National Policy Statement </w:t>
      </w:r>
      <w:r w:rsidR="00D754BB">
        <w:t xml:space="preserve">since the last update in 2024. </w:t>
      </w:r>
    </w:p>
    <w:p w14:paraId="10A97ABA" w14:textId="1C9B477C" w:rsidR="006F4FAF" w:rsidRDefault="006F4FAF" w:rsidP="00832B47">
      <w:pPr>
        <w:numPr>
          <w:ilvl w:val="1"/>
          <w:numId w:val="1"/>
        </w:numPr>
        <w:spacing w:after="0"/>
        <w:jc w:val="both"/>
      </w:pPr>
      <w:r>
        <w:t xml:space="preserve">In order to achieve Clean Power by 2030 and Net Zero by 2050, it is </w:t>
      </w:r>
      <w:r w:rsidR="00861C70">
        <w:t xml:space="preserve">vital </w:t>
      </w:r>
      <w:r>
        <w:t xml:space="preserve">that these policy objectives are considered </w:t>
      </w:r>
      <w:r w:rsidR="00CB5710">
        <w:t xml:space="preserve">throughout the </w:t>
      </w:r>
      <w:r w:rsidR="00861C70">
        <w:t>consenting process</w:t>
      </w:r>
      <w:r w:rsidR="00CB5710">
        <w:t xml:space="preserve"> for </w:t>
      </w:r>
      <w:r w:rsidR="002A6C82">
        <w:t>l</w:t>
      </w:r>
      <w:r w:rsidR="009B6066">
        <w:t xml:space="preserve">ow </w:t>
      </w:r>
      <w:r w:rsidR="009B6066">
        <w:lastRenderedPageBreak/>
        <w:t xml:space="preserve">carbon energy projects. </w:t>
      </w:r>
      <w:r>
        <w:t xml:space="preserve">These objectives should inform a balanced </w:t>
      </w:r>
      <w:r w:rsidR="00844AF0">
        <w:t xml:space="preserve">and holistic </w:t>
      </w:r>
      <w:r>
        <w:t>assessment of environmental impacts</w:t>
      </w:r>
      <w:r w:rsidR="007C6A1B">
        <w:t xml:space="preserve"> </w:t>
      </w:r>
      <w:r w:rsidR="009B6066">
        <w:t>associated with</w:t>
      </w:r>
      <w:r>
        <w:t xml:space="preserve"> nuclear infrastructure</w:t>
      </w:r>
      <w:r w:rsidR="00861C70">
        <w:t>.</w:t>
      </w:r>
    </w:p>
    <w:p w14:paraId="1D149867" w14:textId="4452A622" w:rsidR="00526DD7" w:rsidRDefault="00843422" w:rsidP="00832B47">
      <w:pPr>
        <w:numPr>
          <w:ilvl w:val="2"/>
          <w:numId w:val="1"/>
        </w:numPr>
        <w:spacing w:after="0"/>
        <w:jc w:val="both"/>
        <w:rPr>
          <w:color w:val="FF0000"/>
        </w:rPr>
      </w:pPr>
      <w:r>
        <w:t>The</w:t>
      </w:r>
      <w:r w:rsidR="00E1115C">
        <w:t xml:space="preserve"> </w:t>
      </w:r>
      <w:r>
        <w:t>e</w:t>
      </w:r>
      <w:r w:rsidR="006F4FAF">
        <w:t xml:space="preserve">nvironmental risks </w:t>
      </w:r>
      <w:r w:rsidR="00E1115C">
        <w:t xml:space="preserve">associated with nuclear </w:t>
      </w:r>
      <w:r w:rsidR="006F4FAF">
        <w:t xml:space="preserve">should be weighed against the </w:t>
      </w:r>
      <w:r w:rsidR="001946C6">
        <w:t xml:space="preserve">risks </w:t>
      </w:r>
      <w:r w:rsidR="00E1115C">
        <w:t xml:space="preserve">associated with </w:t>
      </w:r>
      <w:r w:rsidR="001946C6">
        <w:t xml:space="preserve">climate </w:t>
      </w:r>
      <w:r>
        <w:t>chang</w:t>
      </w:r>
      <w:r w:rsidR="00526DD7">
        <w:t>e</w:t>
      </w:r>
      <w:r w:rsidR="00844AF0">
        <w:t xml:space="preserve"> </w:t>
      </w:r>
      <w:r>
        <w:t xml:space="preserve">if the UK does not transfer to a secure, low carbon energy system in a timely manner.  </w:t>
      </w:r>
    </w:p>
    <w:p w14:paraId="3B986B81" w14:textId="027FA455" w:rsidR="00844AF0" w:rsidRPr="00526DD7" w:rsidRDefault="00844AF0" w:rsidP="00832B47">
      <w:pPr>
        <w:numPr>
          <w:ilvl w:val="2"/>
          <w:numId w:val="1"/>
        </w:numPr>
        <w:spacing w:after="0"/>
        <w:jc w:val="both"/>
        <w:rPr>
          <w:color w:val="FF0000"/>
        </w:rPr>
      </w:pPr>
      <w:r>
        <w:t xml:space="preserve">We </w:t>
      </w:r>
      <w:r w:rsidR="0013606F">
        <w:t xml:space="preserve">strongly </w:t>
      </w:r>
      <w:r>
        <w:t xml:space="preserve">encourage EN-1 to provide guidance on deciding on an acceptable level of risk that considers the benefits of low carbon energy technologies versus the </w:t>
      </w:r>
      <w:r w:rsidR="004F78ED">
        <w:t xml:space="preserve">associated </w:t>
      </w:r>
      <w:r>
        <w:t>environmental</w:t>
      </w:r>
      <w:r w:rsidR="00E1115C">
        <w:t xml:space="preserve"> risks</w:t>
      </w:r>
      <w:r>
        <w:t xml:space="preserve">, in the context of climate change. </w:t>
      </w:r>
    </w:p>
    <w:p w14:paraId="3BD4CB81" w14:textId="4472DD15" w:rsidR="00E941B9" w:rsidRPr="006F75F5" w:rsidRDefault="00E941B9" w:rsidP="00832B47">
      <w:pPr>
        <w:numPr>
          <w:ilvl w:val="3"/>
          <w:numId w:val="1"/>
        </w:numPr>
        <w:spacing w:after="0"/>
        <w:jc w:val="both"/>
      </w:pPr>
      <w:r w:rsidRPr="006F75F5">
        <w:t xml:space="preserve">When an environmental impact is identified, the Government should specify in EN-1 clear ways to compensate for that impact. </w:t>
      </w:r>
    </w:p>
    <w:p w14:paraId="0F441475" w14:textId="3E2A39F3" w:rsidR="003B32EE" w:rsidRPr="006F75F5" w:rsidRDefault="00A60C20" w:rsidP="00832B47">
      <w:pPr>
        <w:numPr>
          <w:ilvl w:val="3"/>
          <w:numId w:val="1"/>
        </w:numPr>
        <w:spacing w:after="0"/>
        <w:jc w:val="both"/>
      </w:pPr>
      <w:r w:rsidRPr="006F75F5">
        <w:t>EN-1</w:t>
      </w:r>
      <w:r w:rsidR="003B32EE" w:rsidRPr="006F75F5">
        <w:t xml:space="preserve"> should align with </w:t>
      </w:r>
      <w:r w:rsidR="00D669F6" w:rsidRPr="006F75F5">
        <w:t xml:space="preserve">the Planning </w:t>
      </w:r>
      <w:r w:rsidR="006F75F5" w:rsidRPr="006F75F5">
        <w:t>&amp;</w:t>
      </w:r>
      <w:r w:rsidR="00D669F6" w:rsidRPr="006F75F5">
        <w:t xml:space="preserve"> Infrastructure Bill will which legislate for Environmental Delivery Plans (EDPs)</w:t>
      </w:r>
      <w:r w:rsidR="00B72A30" w:rsidRPr="006F75F5">
        <w:t xml:space="preserve"> as means of compensating for environmental impacts. </w:t>
      </w:r>
    </w:p>
    <w:p w14:paraId="38991D95" w14:textId="5193BF33" w:rsidR="0013606F" w:rsidRDefault="00253689" w:rsidP="00832B47">
      <w:pPr>
        <w:numPr>
          <w:ilvl w:val="1"/>
          <w:numId w:val="1"/>
        </w:numPr>
        <w:spacing w:after="0"/>
        <w:jc w:val="both"/>
      </w:pPr>
      <w:r>
        <w:t>To s</w:t>
      </w:r>
      <w:r w:rsidR="00E1115C">
        <w:t>peed up</w:t>
      </w:r>
      <w:r>
        <w:t xml:space="preserve"> deployment of low carbon energy infrastructure</w:t>
      </w:r>
      <w:r w:rsidR="008C3293">
        <w:t xml:space="preserve">, </w:t>
      </w:r>
      <w:r>
        <w:t xml:space="preserve">we strongly encourage Government to minimise replication and reassessment in the </w:t>
      </w:r>
      <w:r w:rsidR="008C3293">
        <w:t xml:space="preserve">consenting </w:t>
      </w:r>
      <w:r>
        <w:t>process</w:t>
      </w:r>
      <w:r w:rsidR="000C6EED">
        <w:t>.</w:t>
      </w:r>
    </w:p>
    <w:p w14:paraId="71DA0863" w14:textId="36206023" w:rsidR="000C6EED" w:rsidRDefault="00253689" w:rsidP="00832B47">
      <w:pPr>
        <w:numPr>
          <w:ilvl w:val="2"/>
          <w:numId w:val="1"/>
        </w:numPr>
        <w:spacing w:after="0"/>
        <w:jc w:val="both"/>
      </w:pPr>
      <w:r>
        <w:t xml:space="preserve">For example, </w:t>
      </w:r>
      <w:r w:rsidR="00AC250C">
        <w:t>H</w:t>
      </w:r>
      <w:r w:rsidR="000C6EED">
        <w:t xml:space="preserve">abitats </w:t>
      </w:r>
      <w:r w:rsidR="00AC250C">
        <w:t>R</w:t>
      </w:r>
      <w:r w:rsidR="000C6EED">
        <w:t xml:space="preserve">egulation is assessed multiple times throughout the </w:t>
      </w:r>
      <w:r w:rsidR="008C3293">
        <w:t xml:space="preserve">consenting </w:t>
      </w:r>
      <w:r w:rsidR="000C6EED">
        <w:t xml:space="preserve">process for nuclear infrastructure, which slows down </w:t>
      </w:r>
      <w:r w:rsidR="001946C6">
        <w:t xml:space="preserve">the </w:t>
      </w:r>
      <w:r w:rsidR="000C6EED">
        <w:t xml:space="preserve">deployment of nuclear projects. We </w:t>
      </w:r>
      <w:r w:rsidR="00AC250C">
        <w:t xml:space="preserve">would </w:t>
      </w:r>
      <w:r w:rsidR="000C6EED">
        <w:t xml:space="preserve">encourage Government to adopt a single assessment of </w:t>
      </w:r>
      <w:r w:rsidR="00AC250C">
        <w:t>H</w:t>
      </w:r>
      <w:r w:rsidR="000C6EED">
        <w:t xml:space="preserve">abitats </w:t>
      </w:r>
      <w:r w:rsidR="00AC250C">
        <w:t>R</w:t>
      </w:r>
      <w:r w:rsidR="000C6EED">
        <w:t xml:space="preserve">egulation which could be considered throughout the consenting regime. </w:t>
      </w:r>
    </w:p>
    <w:p w14:paraId="6B30B856" w14:textId="7E1750F6" w:rsidR="000C6EED" w:rsidRDefault="000C6EED" w:rsidP="00832B47">
      <w:pPr>
        <w:numPr>
          <w:ilvl w:val="1"/>
          <w:numId w:val="1"/>
        </w:numPr>
        <w:spacing w:after="0"/>
        <w:jc w:val="both"/>
      </w:pPr>
      <w:r>
        <w:t xml:space="preserve">To further streamline the consenting process </w:t>
      </w:r>
      <w:r w:rsidR="00AC250C">
        <w:t xml:space="preserve">for low carbon infrastructure, we encourage Government to </w:t>
      </w:r>
      <w:r w:rsidR="00AC250C" w:rsidRPr="008C3293">
        <w:t>assess the length of supporting documents required for Environmental Impact Assessment.</w:t>
      </w:r>
      <w:r w:rsidR="00AC250C">
        <w:t xml:space="preserve"> </w:t>
      </w:r>
    </w:p>
    <w:p w14:paraId="48B9FFFF" w14:textId="4723762D" w:rsidR="00452FB0" w:rsidRPr="002966C5" w:rsidRDefault="00452FB0" w:rsidP="00832B47">
      <w:pPr>
        <w:jc w:val="both"/>
        <w:rPr>
          <w:color w:val="196B24" w:themeColor="accent3"/>
        </w:rPr>
      </w:pPr>
      <w:r w:rsidRPr="002966C5">
        <w:rPr>
          <w:color w:val="196B24" w:themeColor="accent3"/>
        </w:rPr>
        <w:t xml:space="preserve"> </w:t>
      </w:r>
    </w:p>
    <w:p w14:paraId="4CC45166" w14:textId="77777777" w:rsidR="003E5F5D" w:rsidRPr="00FB0962" w:rsidRDefault="003E5F5D" w:rsidP="00832B47">
      <w:pPr>
        <w:numPr>
          <w:ilvl w:val="0"/>
          <w:numId w:val="1"/>
        </w:numPr>
        <w:spacing w:after="0"/>
        <w:jc w:val="both"/>
        <w:rPr>
          <w:b/>
          <w:bCs/>
        </w:rPr>
      </w:pPr>
      <w:r w:rsidRPr="00FB0962">
        <w:rPr>
          <w:b/>
          <w:bCs/>
        </w:rPr>
        <w:t>How successful were the changes introduced in the last update, including the Critical National Priority policy presumption for low carbon infrastructure? Are any modifications needed?  </w:t>
      </w:r>
    </w:p>
    <w:p w14:paraId="46684A51" w14:textId="6BBD93BE" w:rsidR="00B234CA" w:rsidRDefault="00BE57F5" w:rsidP="00832B47">
      <w:pPr>
        <w:numPr>
          <w:ilvl w:val="1"/>
          <w:numId w:val="1"/>
        </w:numPr>
        <w:spacing w:after="0"/>
        <w:jc w:val="both"/>
      </w:pPr>
      <w:r w:rsidRPr="00BE57F5">
        <w:t>We welcome</w:t>
      </w:r>
      <w:r w:rsidR="001232BE">
        <w:t>d the</w:t>
      </w:r>
      <w:r w:rsidRPr="00BE57F5">
        <w:t xml:space="preserve"> inclusion of nuclear in the Critical National Priority policy</w:t>
      </w:r>
      <w:r w:rsidR="001232BE">
        <w:t xml:space="preserve"> </w:t>
      </w:r>
      <w:r w:rsidR="00DA7726">
        <w:t xml:space="preserve">presumption </w:t>
      </w:r>
      <w:r w:rsidR="001232BE">
        <w:t xml:space="preserve">of EN-1 </w:t>
      </w:r>
      <w:r w:rsidR="002966C5">
        <w:t xml:space="preserve">in </w:t>
      </w:r>
      <w:r w:rsidR="001232BE">
        <w:t xml:space="preserve">2024. </w:t>
      </w:r>
    </w:p>
    <w:p w14:paraId="2559AB61" w14:textId="3044EEC8" w:rsidR="00DA7726" w:rsidRDefault="00DA7726" w:rsidP="00832B47">
      <w:pPr>
        <w:numPr>
          <w:ilvl w:val="2"/>
          <w:numId w:val="1"/>
        </w:numPr>
        <w:spacing w:after="0"/>
        <w:jc w:val="both"/>
      </w:pPr>
      <w:r>
        <w:t xml:space="preserve">The 2025 draft National Policy Statement rightfully recognises that faster deployment of nuclear is vital </w:t>
      </w:r>
      <w:r w:rsidR="00BC22DA">
        <w:t xml:space="preserve">for </w:t>
      </w:r>
      <w:r w:rsidR="00873D31">
        <w:t>achieving net zero.</w:t>
      </w:r>
    </w:p>
    <w:p w14:paraId="176260A7" w14:textId="49194CD0" w:rsidR="00DA7726" w:rsidRDefault="00DA7726" w:rsidP="00832B47">
      <w:pPr>
        <w:numPr>
          <w:ilvl w:val="1"/>
          <w:numId w:val="1"/>
        </w:numPr>
        <w:spacing w:after="0"/>
        <w:jc w:val="both"/>
      </w:pPr>
      <w:r>
        <w:t>Whilst we welcome</w:t>
      </w:r>
      <w:r w:rsidR="000A328D">
        <w:t xml:space="preserve"> the policy presumption</w:t>
      </w:r>
      <w:r>
        <w:t xml:space="preserve">, it is too early to </w:t>
      </w:r>
      <w:r w:rsidR="00253689">
        <w:t>determine</w:t>
      </w:r>
      <w:r>
        <w:t xml:space="preserve"> whether CNP policy is effectively speeding up the deployment of low carbon infrastructure. </w:t>
      </w:r>
    </w:p>
    <w:p w14:paraId="47655C5A" w14:textId="16A88C10" w:rsidR="002966C5" w:rsidRPr="00CF2A71" w:rsidRDefault="00FB0962" w:rsidP="00832B47">
      <w:pPr>
        <w:numPr>
          <w:ilvl w:val="2"/>
          <w:numId w:val="1"/>
        </w:numPr>
        <w:spacing w:after="0"/>
        <w:jc w:val="both"/>
      </w:pPr>
      <w:r>
        <w:t xml:space="preserve">To streamline nuclear deployment in support of Net Zero by 2050, the CNP policy must </w:t>
      </w:r>
      <w:r w:rsidR="00253689">
        <w:t xml:space="preserve">have an impact beyond EN-1 and </w:t>
      </w:r>
      <w:r>
        <w:t>inform decision-making in other government departments and agencies involved in nuclear regulation</w:t>
      </w:r>
      <w:r w:rsidR="008C3293">
        <w:t xml:space="preserve"> </w:t>
      </w:r>
      <w:r w:rsidR="008C3293" w:rsidRPr="008C3293">
        <w:t>–</w:t>
      </w:r>
      <w:r w:rsidR="008C3293">
        <w:t xml:space="preserve"> it is crucial</w:t>
      </w:r>
      <w:r>
        <w:t xml:space="preserve"> that nuclear </w:t>
      </w:r>
      <w:r w:rsidR="00CF2A71">
        <w:t xml:space="preserve">infrastructure </w:t>
      </w:r>
      <w:r w:rsidR="008C3293">
        <w:t xml:space="preserve">is </w:t>
      </w:r>
      <w:r>
        <w:t xml:space="preserve">considered a critical national priority throughout the </w:t>
      </w:r>
      <w:r w:rsidR="008C3293">
        <w:t>consenting</w:t>
      </w:r>
      <w:r>
        <w:t xml:space="preserve"> process. </w:t>
      </w:r>
    </w:p>
    <w:p w14:paraId="63009E90" w14:textId="77777777" w:rsidR="002966C5" w:rsidRPr="00BE57F5" w:rsidRDefault="002966C5" w:rsidP="00832B47">
      <w:pPr>
        <w:spacing w:after="0"/>
        <w:jc w:val="both"/>
        <w:rPr>
          <w:color w:val="FF0000"/>
        </w:rPr>
      </w:pPr>
    </w:p>
    <w:p w14:paraId="2273846F" w14:textId="77777777" w:rsidR="003E5F5D" w:rsidRPr="00CF2A71" w:rsidRDefault="003E5F5D" w:rsidP="00832B47">
      <w:pPr>
        <w:jc w:val="both"/>
        <w:rPr>
          <w:b/>
          <w:bCs/>
          <w:u w:val="single"/>
        </w:rPr>
      </w:pPr>
      <w:r w:rsidRPr="00CF2A71">
        <w:rPr>
          <w:b/>
          <w:bCs/>
          <w:u w:val="single"/>
        </w:rPr>
        <w:t>Balancing competing considerations  </w:t>
      </w:r>
    </w:p>
    <w:p w14:paraId="44AC49A6" w14:textId="77777777" w:rsidR="003E5F5D" w:rsidRPr="00E44B1D" w:rsidRDefault="003E5F5D" w:rsidP="00832B47">
      <w:pPr>
        <w:ind w:left="360"/>
        <w:jc w:val="both"/>
      </w:pPr>
      <w:r w:rsidRPr="00E44B1D">
        <w:t>With regards to renewable energy projects and/or the design of electricity network infrastructure, do the draft updated statements allow for sufficient consideration of:  </w:t>
      </w:r>
    </w:p>
    <w:p w14:paraId="20924F68" w14:textId="77777777" w:rsidR="003E5F5D" w:rsidRPr="00CF2A71" w:rsidRDefault="003E5F5D" w:rsidP="00832B47">
      <w:pPr>
        <w:numPr>
          <w:ilvl w:val="0"/>
          <w:numId w:val="1"/>
        </w:numPr>
        <w:jc w:val="both"/>
        <w:rPr>
          <w:b/>
          <w:bCs/>
        </w:rPr>
      </w:pPr>
      <w:r w:rsidRPr="00CF2A71">
        <w:rPr>
          <w:b/>
          <w:bCs/>
        </w:rPr>
        <w:t>landscape impacts;  </w:t>
      </w:r>
    </w:p>
    <w:p w14:paraId="27FD040D" w14:textId="77777777" w:rsidR="003E5F5D" w:rsidRPr="00CF2A71" w:rsidRDefault="003E5F5D" w:rsidP="00832B47">
      <w:pPr>
        <w:numPr>
          <w:ilvl w:val="0"/>
          <w:numId w:val="1"/>
        </w:numPr>
        <w:jc w:val="both"/>
        <w:rPr>
          <w:b/>
          <w:bCs/>
        </w:rPr>
      </w:pPr>
      <w:r w:rsidRPr="00CF2A71">
        <w:rPr>
          <w:b/>
          <w:bCs/>
        </w:rPr>
        <w:lastRenderedPageBreak/>
        <w:t>wildlife impacts;  </w:t>
      </w:r>
    </w:p>
    <w:p w14:paraId="30913433" w14:textId="77777777" w:rsidR="003E5F5D" w:rsidRPr="00CF2A71" w:rsidRDefault="003E5F5D" w:rsidP="00832B47">
      <w:pPr>
        <w:numPr>
          <w:ilvl w:val="0"/>
          <w:numId w:val="1"/>
        </w:numPr>
        <w:jc w:val="both"/>
        <w:rPr>
          <w:b/>
          <w:bCs/>
        </w:rPr>
      </w:pPr>
      <w:r w:rsidRPr="00CF2A71">
        <w:rPr>
          <w:b/>
          <w:bCs/>
        </w:rPr>
        <w:t>heritage and archaeological impacts; and  </w:t>
      </w:r>
    </w:p>
    <w:p w14:paraId="4D8C5B53" w14:textId="77777777" w:rsidR="003E5F5D" w:rsidRPr="00CF2A71" w:rsidRDefault="003E5F5D" w:rsidP="00832B47">
      <w:pPr>
        <w:numPr>
          <w:ilvl w:val="0"/>
          <w:numId w:val="1"/>
        </w:numPr>
        <w:jc w:val="both"/>
        <w:rPr>
          <w:b/>
          <w:bCs/>
        </w:rPr>
      </w:pPr>
      <w:r w:rsidRPr="00CF2A71">
        <w:rPr>
          <w:b/>
          <w:bCs/>
        </w:rPr>
        <w:t>the viability and feasibility of underground and offshore cable routes?  </w:t>
      </w:r>
    </w:p>
    <w:p w14:paraId="1D9CE574" w14:textId="5A224B3C" w:rsidR="0016535A" w:rsidRDefault="0016535A" w:rsidP="00832B47">
      <w:pPr>
        <w:numPr>
          <w:ilvl w:val="1"/>
          <w:numId w:val="9"/>
        </w:numPr>
        <w:jc w:val="both"/>
      </w:pPr>
      <w:r>
        <w:t>No comment</w:t>
      </w:r>
    </w:p>
    <w:p w14:paraId="39D820FC" w14:textId="77777777" w:rsidR="0016535A" w:rsidRPr="003E5F5D" w:rsidRDefault="0016535A" w:rsidP="00832B47">
      <w:pPr>
        <w:jc w:val="both"/>
      </w:pPr>
    </w:p>
    <w:p w14:paraId="1C984DFB" w14:textId="77777777" w:rsidR="003E5F5D" w:rsidRPr="00E44B1D" w:rsidRDefault="003E5F5D" w:rsidP="00832B47">
      <w:pPr>
        <w:pStyle w:val="ListParagraph"/>
        <w:numPr>
          <w:ilvl w:val="0"/>
          <w:numId w:val="1"/>
        </w:numPr>
        <w:jc w:val="both"/>
        <w:rPr>
          <w:b/>
          <w:bCs/>
        </w:rPr>
      </w:pPr>
      <w:r w:rsidRPr="00E44B1D">
        <w:rPr>
          <w:b/>
          <w:bCs/>
        </w:rPr>
        <w:t>Do the draft statements strike the right balance between reducing delays, consideration of national strategic spatial plans, and detailed scrutiny of individual projects?  </w:t>
      </w:r>
    </w:p>
    <w:p w14:paraId="30CFBE4F" w14:textId="4745A08F" w:rsidR="00E44B1D" w:rsidRPr="00E44B1D" w:rsidRDefault="00E44B1D" w:rsidP="00832B47">
      <w:pPr>
        <w:pStyle w:val="ListParagraph"/>
        <w:numPr>
          <w:ilvl w:val="1"/>
          <w:numId w:val="1"/>
        </w:numPr>
        <w:jc w:val="both"/>
      </w:pPr>
      <w:r w:rsidRPr="00E44B1D">
        <w:t xml:space="preserve">It is too early to </w:t>
      </w:r>
      <w:r w:rsidR="000A328D">
        <w:t>determine</w:t>
      </w:r>
      <w:r w:rsidRPr="00E44B1D">
        <w:t xml:space="preserve"> whether EN-1 strikes the right balance between reducing delays, consideration of national strategic spatial plans, and detailed scrutiny of individual projects. </w:t>
      </w:r>
    </w:p>
    <w:p w14:paraId="32AC8EF6" w14:textId="56DC4A9E" w:rsidR="00E44B1D" w:rsidRDefault="00E44B1D" w:rsidP="00832B47">
      <w:pPr>
        <w:pStyle w:val="ListParagraph"/>
        <w:numPr>
          <w:ilvl w:val="1"/>
          <w:numId w:val="1"/>
        </w:numPr>
        <w:jc w:val="both"/>
      </w:pPr>
      <w:r w:rsidRPr="00E44B1D">
        <w:t xml:space="preserve">We welcome </w:t>
      </w:r>
      <w:r>
        <w:t xml:space="preserve">the effort to reduce delays through the </w:t>
      </w:r>
      <w:r w:rsidRPr="00BE57F5">
        <w:t>C</w:t>
      </w:r>
      <w:r w:rsidR="005E0428">
        <w:t xml:space="preserve">NP </w:t>
      </w:r>
      <w:r w:rsidRPr="00BE57F5">
        <w:t>policy</w:t>
      </w:r>
      <w:r>
        <w:t xml:space="preserve"> presumption. </w:t>
      </w:r>
    </w:p>
    <w:p w14:paraId="6BB35598" w14:textId="3D5824A4" w:rsidR="00E44B1D" w:rsidRDefault="0001761E" w:rsidP="00832B47">
      <w:pPr>
        <w:pStyle w:val="ListParagraph"/>
        <w:numPr>
          <w:ilvl w:val="2"/>
          <w:numId w:val="1"/>
        </w:numPr>
        <w:jc w:val="both"/>
      </w:pPr>
      <w:r>
        <w:t xml:space="preserve">We urge Government to ensure that the CNP policy is </w:t>
      </w:r>
      <w:r w:rsidR="00F80EC3">
        <w:t xml:space="preserve">also </w:t>
      </w:r>
      <w:r>
        <w:t>informing the work of other government departments involved in the consenting process</w:t>
      </w:r>
      <w:r w:rsidR="000A328D">
        <w:t xml:space="preserve"> for nuclear projects. </w:t>
      </w:r>
    </w:p>
    <w:p w14:paraId="63BEEC25" w14:textId="139C7FF9" w:rsidR="0001761E" w:rsidRPr="00E44B1D" w:rsidRDefault="0001761E" w:rsidP="00832B47">
      <w:pPr>
        <w:pStyle w:val="ListParagraph"/>
        <w:numPr>
          <w:ilvl w:val="1"/>
          <w:numId w:val="1"/>
        </w:numPr>
        <w:jc w:val="both"/>
      </w:pPr>
      <w:r>
        <w:t>We urge Government to streamline the consenting process</w:t>
      </w:r>
      <w:r w:rsidR="001946C6">
        <w:t xml:space="preserve">, </w:t>
      </w:r>
      <w:r>
        <w:t>an</w:t>
      </w:r>
      <w:r w:rsidR="00BC22DA">
        <w:t xml:space="preserve">d </w:t>
      </w:r>
      <w:r>
        <w:t xml:space="preserve">provide guidance on acceptable risk for low carbon energy projects in the context of climate change, to balance scrutiny of individual projects with reducing delays </w:t>
      </w:r>
      <w:r w:rsidR="001946C6">
        <w:t xml:space="preserve">(please see response to Question 4 for further details). </w:t>
      </w:r>
    </w:p>
    <w:p w14:paraId="471A56A5" w14:textId="484D4E25" w:rsidR="00982263" w:rsidRPr="00861C70" w:rsidRDefault="003E5F5D" w:rsidP="00832B47">
      <w:pPr>
        <w:jc w:val="both"/>
        <w:rPr>
          <w:color w:val="196B24" w:themeColor="accent3"/>
        </w:rPr>
      </w:pPr>
      <w:r w:rsidRPr="00861C70">
        <w:rPr>
          <w:color w:val="196B24" w:themeColor="accent3"/>
        </w:rPr>
        <w:t> </w:t>
      </w:r>
      <w:r w:rsidR="00982263" w:rsidRPr="00861C70">
        <w:rPr>
          <w:color w:val="196B24" w:themeColor="accent3"/>
        </w:rPr>
        <w:t xml:space="preserve"> </w:t>
      </w:r>
    </w:p>
    <w:p w14:paraId="4C392460" w14:textId="77777777" w:rsidR="003E5F5D" w:rsidRPr="00CF2A71" w:rsidRDefault="003E5F5D" w:rsidP="00832B47">
      <w:pPr>
        <w:jc w:val="both"/>
        <w:rPr>
          <w:b/>
          <w:bCs/>
          <w:u w:val="single"/>
        </w:rPr>
      </w:pPr>
      <w:r w:rsidRPr="00CF2A71">
        <w:rPr>
          <w:b/>
          <w:bCs/>
          <w:u w:val="single"/>
        </w:rPr>
        <w:t>Electricity network infrastructure  </w:t>
      </w:r>
    </w:p>
    <w:p w14:paraId="47355AC1" w14:textId="77777777" w:rsidR="003E5F5D" w:rsidRPr="00CF2A71" w:rsidRDefault="003E5F5D" w:rsidP="00832B47">
      <w:pPr>
        <w:jc w:val="both"/>
        <w:rPr>
          <w:b/>
          <w:bCs/>
        </w:rPr>
      </w:pPr>
      <w:r w:rsidRPr="00CF2A71">
        <w:rPr>
          <w:b/>
          <w:bCs/>
        </w:rPr>
        <w:t>Do the draft statements:  </w:t>
      </w:r>
    </w:p>
    <w:p w14:paraId="44C540E4" w14:textId="77777777" w:rsidR="009A01C5" w:rsidRPr="00CF2A71" w:rsidRDefault="003E5F5D" w:rsidP="00832B47">
      <w:pPr>
        <w:numPr>
          <w:ilvl w:val="0"/>
          <w:numId w:val="1"/>
        </w:numPr>
        <w:spacing w:after="0"/>
        <w:jc w:val="both"/>
        <w:rPr>
          <w:b/>
          <w:bCs/>
        </w:rPr>
      </w:pPr>
      <w:r w:rsidRPr="00CF2A71">
        <w:rPr>
          <w:b/>
          <w:bCs/>
        </w:rPr>
        <w:t>provide clear enough guidance on when pylons should be used for electricity transmission and distribution cables, and when they should be laid underground or offshore; and  </w:t>
      </w:r>
    </w:p>
    <w:p w14:paraId="1FAC74E9" w14:textId="669A33E2" w:rsidR="003E5F5D" w:rsidRPr="00CF2A71" w:rsidRDefault="003E5F5D" w:rsidP="00832B47">
      <w:pPr>
        <w:numPr>
          <w:ilvl w:val="0"/>
          <w:numId w:val="1"/>
        </w:numPr>
        <w:spacing w:after="0"/>
        <w:jc w:val="both"/>
        <w:rPr>
          <w:b/>
          <w:bCs/>
        </w:rPr>
      </w:pPr>
      <w:r w:rsidRPr="00CF2A71">
        <w:rPr>
          <w:b/>
          <w:bCs/>
        </w:rPr>
        <w:t>establish a coherent and justified policy for determining when one of these route design options should be chosen over another?  </w:t>
      </w:r>
    </w:p>
    <w:p w14:paraId="24C69BC9" w14:textId="530BAC04" w:rsidR="00390BA8" w:rsidRDefault="00390BA8" w:rsidP="00832B47">
      <w:pPr>
        <w:numPr>
          <w:ilvl w:val="1"/>
          <w:numId w:val="11"/>
        </w:numPr>
        <w:spacing w:after="0"/>
        <w:jc w:val="both"/>
      </w:pPr>
      <w:r>
        <w:t>No comment</w:t>
      </w:r>
    </w:p>
    <w:p w14:paraId="31F0D59F" w14:textId="77777777" w:rsidR="0012189A" w:rsidRPr="003E5F5D" w:rsidRDefault="0012189A" w:rsidP="00832B47">
      <w:pPr>
        <w:spacing w:after="0"/>
        <w:jc w:val="both"/>
      </w:pPr>
    </w:p>
    <w:p w14:paraId="360DC259" w14:textId="77777777" w:rsidR="003E5F5D" w:rsidRPr="00CF2A71" w:rsidRDefault="003E5F5D" w:rsidP="00832B47">
      <w:pPr>
        <w:jc w:val="both"/>
        <w:rPr>
          <w:b/>
          <w:bCs/>
          <w:u w:val="single"/>
        </w:rPr>
      </w:pPr>
      <w:r w:rsidRPr="000E4952">
        <w:rPr>
          <w:b/>
          <w:bCs/>
        </w:rPr>
        <w:t>  </w:t>
      </w:r>
      <w:r w:rsidRPr="00CF2A71">
        <w:rPr>
          <w:b/>
          <w:bCs/>
          <w:u w:val="single"/>
        </w:rPr>
        <w:t>Renewable energy infrastructure   </w:t>
      </w:r>
    </w:p>
    <w:p w14:paraId="48E5908C" w14:textId="77777777" w:rsidR="003E5F5D" w:rsidRPr="00CF2A71" w:rsidRDefault="003E5F5D" w:rsidP="00832B47">
      <w:pPr>
        <w:numPr>
          <w:ilvl w:val="0"/>
          <w:numId w:val="1"/>
        </w:numPr>
        <w:jc w:val="both"/>
        <w:rPr>
          <w:b/>
          <w:bCs/>
        </w:rPr>
      </w:pPr>
      <w:r w:rsidRPr="00CF2A71">
        <w:rPr>
          <w:b/>
          <w:bCs/>
        </w:rPr>
        <w:t>Is there clear enough guidance on how much weight should be given to the availability of a grid connection in considering the overall benefits and impacts of a proposed project, given the significance of this factor in determining site selection?  </w:t>
      </w:r>
    </w:p>
    <w:p w14:paraId="43CEAE93" w14:textId="2EFCBFDD" w:rsidR="00456714" w:rsidRPr="003E5F5D" w:rsidRDefault="00456714" w:rsidP="00832B47">
      <w:pPr>
        <w:numPr>
          <w:ilvl w:val="1"/>
          <w:numId w:val="21"/>
        </w:numPr>
        <w:jc w:val="both"/>
      </w:pPr>
      <w:r>
        <w:t>No comment</w:t>
      </w:r>
    </w:p>
    <w:p w14:paraId="29E717E3" w14:textId="77777777" w:rsidR="003E5F5D" w:rsidRPr="00CF2A71" w:rsidRDefault="003E5F5D" w:rsidP="00832B47">
      <w:pPr>
        <w:numPr>
          <w:ilvl w:val="0"/>
          <w:numId w:val="1"/>
        </w:numPr>
        <w:jc w:val="both"/>
        <w:rPr>
          <w:b/>
          <w:bCs/>
        </w:rPr>
      </w:pPr>
      <w:r w:rsidRPr="00CF2A71">
        <w:rPr>
          <w:b/>
          <w:bCs/>
        </w:rPr>
        <w:t>Do the draft statements provide sufficient clarity on how to manage trade-offs in how land is used and, in particular, when agricultural land grading should (or should not) count against the suitability of a site for renewable energy generation?  </w:t>
      </w:r>
    </w:p>
    <w:p w14:paraId="1D79B13D" w14:textId="5873BAF2" w:rsidR="00456714" w:rsidRPr="003E5F5D" w:rsidRDefault="00456714" w:rsidP="00832B47">
      <w:pPr>
        <w:numPr>
          <w:ilvl w:val="1"/>
          <w:numId w:val="20"/>
        </w:numPr>
        <w:jc w:val="both"/>
      </w:pPr>
      <w:r>
        <w:t>No comment</w:t>
      </w:r>
    </w:p>
    <w:p w14:paraId="218C2ED1" w14:textId="77777777" w:rsidR="003E5F5D" w:rsidRPr="00CF2A71" w:rsidRDefault="003E5F5D" w:rsidP="00832B47">
      <w:pPr>
        <w:numPr>
          <w:ilvl w:val="0"/>
          <w:numId w:val="1"/>
        </w:numPr>
        <w:jc w:val="both"/>
        <w:rPr>
          <w:b/>
          <w:bCs/>
        </w:rPr>
      </w:pPr>
      <w:r w:rsidRPr="00CF2A71">
        <w:rPr>
          <w:b/>
          <w:bCs/>
        </w:rPr>
        <w:t>Should there be any amendments to the National Planning Policy Framework to align it with the updated energy National Policy Statements?  </w:t>
      </w:r>
    </w:p>
    <w:p w14:paraId="726C9D6A" w14:textId="628BF860" w:rsidR="00456714" w:rsidRDefault="00456714" w:rsidP="00832B47">
      <w:pPr>
        <w:numPr>
          <w:ilvl w:val="1"/>
          <w:numId w:val="19"/>
        </w:numPr>
        <w:jc w:val="both"/>
      </w:pPr>
      <w:r>
        <w:lastRenderedPageBreak/>
        <w:t>No comment</w:t>
      </w:r>
    </w:p>
    <w:p w14:paraId="3F6BD69E" w14:textId="77777777" w:rsidR="00240A8E" w:rsidRPr="003E5F5D" w:rsidRDefault="00240A8E" w:rsidP="00832B47">
      <w:pPr>
        <w:jc w:val="both"/>
      </w:pPr>
    </w:p>
    <w:p w14:paraId="502EE5A2" w14:textId="77777777" w:rsidR="00240A8E" w:rsidRPr="00240A8E" w:rsidRDefault="00240A8E" w:rsidP="00832B47">
      <w:pPr>
        <w:jc w:val="both"/>
        <w:rPr>
          <w:b/>
          <w:bCs/>
        </w:rPr>
      </w:pPr>
      <w:r w:rsidRPr="00240A8E">
        <w:rPr>
          <w:b/>
          <w:bCs/>
        </w:rPr>
        <w:t xml:space="preserve">Further Information </w:t>
      </w:r>
    </w:p>
    <w:p w14:paraId="322C66F9" w14:textId="77777777" w:rsidR="00240A8E" w:rsidRDefault="00240A8E" w:rsidP="00832B47">
      <w:pPr>
        <w:jc w:val="both"/>
      </w:pPr>
      <w:r w:rsidRPr="006F0D22">
        <w:t xml:space="preserve">The NIA is happy to provide more context, or any clarifications desired on the content of our response and to ask our members where appropriate for additional information that may be useful. </w:t>
      </w:r>
    </w:p>
    <w:p w14:paraId="6C77203E" w14:textId="77777777" w:rsidR="00240A8E" w:rsidRPr="006F0D22" w:rsidRDefault="00240A8E" w:rsidP="00832B47">
      <w:pPr>
        <w:jc w:val="both"/>
      </w:pPr>
      <w:r w:rsidRPr="006F0D22">
        <w:t>Please contact Elisabeth Roden, Policy Analyst for the Nuclear Industry Association, at elisabeth.roden@niauk.org to do this.</w:t>
      </w:r>
    </w:p>
    <w:p w14:paraId="38C3D7DA" w14:textId="77777777" w:rsidR="00FE6446" w:rsidRDefault="00FE6446" w:rsidP="00832B47">
      <w:pPr>
        <w:jc w:val="both"/>
      </w:pPr>
    </w:p>
    <w:sectPr w:rsidR="00FE64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E2730" w14:textId="77777777" w:rsidR="0031032D" w:rsidRDefault="0031032D" w:rsidP="00BE57F5">
      <w:pPr>
        <w:spacing w:after="0" w:line="240" w:lineRule="auto"/>
      </w:pPr>
      <w:r>
        <w:separator/>
      </w:r>
    </w:p>
  </w:endnote>
  <w:endnote w:type="continuationSeparator" w:id="0">
    <w:p w14:paraId="4FDC84AB" w14:textId="77777777" w:rsidR="0031032D" w:rsidRDefault="0031032D" w:rsidP="00BE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29B3E" w14:textId="77777777" w:rsidR="0031032D" w:rsidRDefault="0031032D" w:rsidP="00BE57F5">
      <w:pPr>
        <w:spacing w:after="0" w:line="240" w:lineRule="auto"/>
      </w:pPr>
      <w:r>
        <w:separator/>
      </w:r>
    </w:p>
  </w:footnote>
  <w:footnote w:type="continuationSeparator" w:id="0">
    <w:p w14:paraId="48EBED0E" w14:textId="77777777" w:rsidR="0031032D" w:rsidRDefault="0031032D" w:rsidP="00BE57F5">
      <w:pPr>
        <w:spacing w:after="0" w:line="240" w:lineRule="auto"/>
      </w:pPr>
      <w:r>
        <w:continuationSeparator/>
      </w:r>
    </w:p>
  </w:footnote>
  <w:footnote w:id="1">
    <w:p w14:paraId="66A1F3AF" w14:textId="02733B65" w:rsidR="00BE57F5" w:rsidRDefault="00BE57F5" w:rsidP="00BE57F5">
      <w:pPr>
        <w:pStyle w:val="FootnoteText"/>
      </w:pPr>
      <w:r>
        <w:rPr>
          <w:rStyle w:val="FootnoteReference"/>
        </w:rPr>
        <w:footnoteRef/>
      </w:r>
      <w:r>
        <w:t xml:space="preserve"> Department for Energy Security and Net Zero (2025) </w:t>
      </w:r>
      <w:r w:rsidRPr="00BE57F5">
        <w:t>Overarching National Policy Statement for Energy (EN-1)</w:t>
      </w:r>
      <w:r>
        <w:t xml:space="preserve">. Available at: </w:t>
      </w:r>
      <w:hyperlink r:id="rId1" w:history="1">
        <w:r w:rsidRPr="003F5977">
          <w:rPr>
            <w:rStyle w:val="Hyperlink"/>
          </w:rPr>
          <w:t>https://assets.publishing.service.gov.uk/media/68093d68148a9969d2394f59/draft-nps-en-1.pdf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00C3"/>
    <w:multiLevelType w:val="hybridMultilevel"/>
    <w:tmpl w:val="BF129886"/>
    <w:lvl w:ilvl="0" w:tplc="E7C062D8">
      <w:start w:val="1"/>
      <w:numFmt w:val="lowerLetter"/>
      <w:lvlText w:val="%1."/>
      <w:lvlJc w:val="left"/>
      <w:pPr>
        <w:ind w:left="2160" w:hanging="360"/>
      </w:pPr>
    </w:lvl>
    <w:lvl w:ilvl="1" w:tplc="931298EE">
      <w:start w:val="1"/>
      <w:numFmt w:val="lowerLetter"/>
      <w:lvlText w:val="%2."/>
      <w:lvlJc w:val="left"/>
      <w:pPr>
        <w:ind w:left="2160" w:hanging="360"/>
      </w:pPr>
    </w:lvl>
    <w:lvl w:ilvl="2" w:tplc="52E6938A">
      <w:start w:val="1"/>
      <w:numFmt w:val="lowerLetter"/>
      <w:lvlText w:val="%3."/>
      <w:lvlJc w:val="left"/>
      <w:pPr>
        <w:ind w:left="2160" w:hanging="360"/>
      </w:pPr>
    </w:lvl>
    <w:lvl w:ilvl="3" w:tplc="8320CAD6">
      <w:start w:val="1"/>
      <w:numFmt w:val="lowerLetter"/>
      <w:lvlText w:val="%4."/>
      <w:lvlJc w:val="left"/>
      <w:pPr>
        <w:ind w:left="2160" w:hanging="360"/>
      </w:pPr>
    </w:lvl>
    <w:lvl w:ilvl="4" w:tplc="07102F1C">
      <w:start w:val="1"/>
      <w:numFmt w:val="lowerLetter"/>
      <w:lvlText w:val="%5."/>
      <w:lvlJc w:val="left"/>
      <w:pPr>
        <w:ind w:left="2160" w:hanging="360"/>
      </w:pPr>
    </w:lvl>
    <w:lvl w:ilvl="5" w:tplc="CFD6C8D0">
      <w:start w:val="1"/>
      <w:numFmt w:val="lowerLetter"/>
      <w:lvlText w:val="%6."/>
      <w:lvlJc w:val="left"/>
      <w:pPr>
        <w:ind w:left="2160" w:hanging="360"/>
      </w:pPr>
    </w:lvl>
    <w:lvl w:ilvl="6" w:tplc="8AF8C6EA">
      <w:start w:val="1"/>
      <w:numFmt w:val="lowerLetter"/>
      <w:lvlText w:val="%7."/>
      <w:lvlJc w:val="left"/>
      <w:pPr>
        <w:ind w:left="2160" w:hanging="360"/>
      </w:pPr>
    </w:lvl>
    <w:lvl w:ilvl="7" w:tplc="77BCCE0C">
      <w:start w:val="1"/>
      <w:numFmt w:val="lowerLetter"/>
      <w:lvlText w:val="%8."/>
      <w:lvlJc w:val="left"/>
      <w:pPr>
        <w:ind w:left="2160" w:hanging="360"/>
      </w:pPr>
    </w:lvl>
    <w:lvl w:ilvl="8" w:tplc="5D341516">
      <w:start w:val="1"/>
      <w:numFmt w:val="lowerLetter"/>
      <w:lvlText w:val="%9."/>
      <w:lvlJc w:val="left"/>
      <w:pPr>
        <w:ind w:left="2160" w:hanging="360"/>
      </w:pPr>
    </w:lvl>
  </w:abstractNum>
  <w:abstractNum w:abstractNumId="1" w15:restartNumberingAfterBreak="0">
    <w:nsid w:val="11C154E0"/>
    <w:multiLevelType w:val="multilevel"/>
    <w:tmpl w:val="A656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1003A"/>
    <w:multiLevelType w:val="multilevel"/>
    <w:tmpl w:val="C24A49E4"/>
    <w:lvl w:ilvl="0">
      <w:start w:val="1"/>
      <w:numFmt w:val="decimal"/>
      <w:lvlText w:val="%1."/>
      <w:lvlJc w:val="left"/>
      <w:pPr>
        <w:tabs>
          <w:tab w:val="num" w:pos="720"/>
        </w:tabs>
        <w:ind w:left="720" w:hanging="360"/>
      </w:pPr>
      <w:rPr>
        <w:rFonts w:hint="default"/>
        <w:b/>
        <w:bCs/>
        <w:sz w:val="20"/>
      </w:rPr>
    </w:lvl>
    <w:lvl w:ilvl="1">
      <w:start w:val="1"/>
      <w:numFmt w:val="lowerLetter"/>
      <w:lvlText w:val="%2."/>
      <w:lvlJc w:val="left"/>
      <w:pPr>
        <w:ind w:left="1440" w:hanging="360"/>
      </w:pPr>
      <w:rPr>
        <w:rFonts w:hint="default"/>
        <w:b/>
        <w:bCs/>
        <w:color w:val="auto"/>
        <w:sz w:val="20"/>
      </w:rPr>
    </w:lvl>
    <w:lvl w:ilvl="2">
      <w:start w:val="1"/>
      <w:numFmt w:val="bullet"/>
      <w:lvlText w:val=""/>
      <w:lvlJc w:val="left"/>
      <w:pPr>
        <w:tabs>
          <w:tab w:val="num" w:pos="2160"/>
        </w:tabs>
        <w:ind w:left="2160" w:hanging="360"/>
      </w:pPr>
      <w:rPr>
        <w:rFonts w:ascii="Wingdings" w:hAnsi="Wingdings" w:hint="default"/>
        <w:color w:val="auto"/>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B1B21"/>
    <w:multiLevelType w:val="multilevel"/>
    <w:tmpl w:val="5C2EE4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E76BA"/>
    <w:multiLevelType w:val="multilevel"/>
    <w:tmpl w:val="C0BA57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A7AF4"/>
    <w:multiLevelType w:val="hybridMultilevel"/>
    <w:tmpl w:val="4BC4F4B6"/>
    <w:lvl w:ilvl="0" w:tplc="AF8AD412">
      <w:start w:val="1"/>
      <w:numFmt w:val="lowerLetter"/>
      <w:lvlText w:val="%1."/>
      <w:lvlJc w:val="left"/>
      <w:pPr>
        <w:ind w:left="2160" w:hanging="360"/>
      </w:pPr>
    </w:lvl>
    <w:lvl w:ilvl="1" w:tplc="3A88EB58">
      <w:start w:val="1"/>
      <w:numFmt w:val="lowerLetter"/>
      <w:lvlText w:val="%2."/>
      <w:lvlJc w:val="left"/>
      <w:pPr>
        <w:ind w:left="2160" w:hanging="360"/>
      </w:pPr>
    </w:lvl>
    <w:lvl w:ilvl="2" w:tplc="3E8CEA2C">
      <w:start w:val="1"/>
      <w:numFmt w:val="lowerLetter"/>
      <w:lvlText w:val="%3."/>
      <w:lvlJc w:val="left"/>
      <w:pPr>
        <w:ind w:left="2160" w:hanging="360"/>
      </w:pPr>
    </w:lvl>
    <w:lvl w:ilvl="3" w:tplc="36781588">
      <w:start w:val="1"/>
      <w:numFmt w:val="lowerLetter"/>
      <w:lvlText w:val="%4."/>
      <w:lvlJc w:val="left"/>
      <w:pPr>
        <w:ind w:left="2160" w:hanging="360"/>
      </w:pPr>
    </w:lvl>
    <w:lvl w:ilvl="4" w:tplc="8520B018">
      <w:start w:val="1"/>
      <w:numFmt w:val="lowerLetter"/>
      <w:lvlText w:val="%5."/>
      <w:lvlJc w:val="left"/>
      <w:pPr>
        <w:ind w:left="2160" w:hanging="360"/>
      </w:pPr>
    </w:lvl>
    <w:lvl w:ilvl="5" w:tplc="22A8F66E">
      <w:start w:val="1"/>
      <w:numFmt w:val="lowerLetter"/>
      <w:lvlText w:val="%6."/>
      <w:lvlJc w:val="left"/>
      <w:pPr>
        <w:ind w:left="2160" w:hanging="360"/>
      </w:pPr>
    </w:lvl>
    <w:lvl w:ilvl="6" w:tplc="6C7C33F6">
      <w:start w:val="1"/>
      <w:numFmt w:val="lowerLetter"/>
      <w:lvlText w:val="%7."/>
      <w:lvlJc w:val="left"/>
      <w:pPr>
        <w:ind w:left="2160" w:hanging="360"/>
      </w:pPr>
    </w:lvl>
    <w:lvl w:ilvl="7" w:tplc="AA40D820">
      <w:start w:val="1"/>
      <w:numFmt w:val="lowerLetter"/>
      <w:lvlText w:val="%8."/>
      <w:lvlJc w:val="left"/>
      <w:pPr>
        <w:ind w:left="2160" w:hanging="360"/>
      </w:pPr>
    </w:lvl>
    <w:lvl w:ilvl="8" w:tplc="CD5CB896">
      <w:start w:val="1"/>
      <w:numFmt w:val="lowerLetter"/>
      <w:lvlText w:val="%9."/>
      <w:lvlJc w:val="left"/>
      <w:pPr>
        <w:ind w:left="2160" w:hanging="360"/>
      </w:pPr>
    </w:lvl>
  </w:abstractNum>
  <w:abstractNum w:abstractNumId="6" w15:restartNumberingAfterBreak="0">
    <w:nsid w:val="1C3F4C4E"/>
    <w:multiLevelType w:val="multilevel"/>
    <w:tmpl w:val="9EDE3D4A"/>
    <w:lvl w:ilvl="0">
      <w:start w:val="1"/>
      <w:numFmt w:val="decimal"/>
      <w:lvlText w:val="%1."/>
      <w:lvlJc w:val="left"/>
      <w:pPr>
        <w:tabs>
          <w:tab w:val="num" w:pos="720"/>
        </w:tabs>
        <w:ind w:left="720" w:hanging="360"/>
      </w:pPr>
      <w:rPr>
        <w:rFonts w:hint="default"/>
        <w:b/>
        <w:bCs/>
        <w:sz w:val="20"/>
      </w:rPr>
    </w:lvl>
    <w:lvl w:ilvl="1">
      <w:start w:val="1"/>
      <w:numFmt w:val="lowerLetter"/>
      <w:lvlText w:val="%2."/>
      <w:lvlJc w:val="left"/>
      <w:pPr>
        <w:ind w:left="1440" w:hanging="360"/>
      </w:pPr>
      <w:rPr>
        <w:rFonts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90DD7"/>
    <w:multiLevelType w:val="multilevel"/>
    <w:tmpl w:val="4704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63C06"/>
    <w:multiLevelType w:val="multilevel"/>
    <w:tmpl w:val="F2A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37A4B"/>
    <w:multiLevelType w:val="multilevel"/>
    <w:tmpl w:val="CD4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F33E6"/>
    <w:multiLevelType w:val="multilevel"/>
    <w:tmpl w:val="BCD02FF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50F6B"/>
    <w:multiLevelType w:val="multilevel"/>
    <w:tmpl w:val="11FC749E"/>
    <w:lvl w:ilvl="0">
      <w:start w:val="1"/>
      <w:numFmt w:val="decimal"/>
      <w:lvlText w:val="%1."/>
      <w:lvlJc w:val="left"/>
      <w:pPr>
        <w:tabs>
          <w:tab w:val="num" w:pos="720"/>
        </w:tabs>
        <w:ind w:left="720" w:hanging="360"/>
      </w:pPr>
      <w:rPr>
        <w:rFonts w:hint="default"/>
        <w:b/>
        <w:bCs/>
        <w:sz w:val="20"/>
      </w:rPr>
    </w:lvl>
    <w:lvl w:ilvl="1">
      <w:start w:val="1"/>
      <w:numFmt w:val="lowerLetter"/>
      <w:lvlText w:val="%2."/>
      <w:lvlJc w:val="left"/>
      <w:pPr>
        <w:ind w:left="1440" w:hanging="360"/>
      </w:pPr>
      <w:rPr>
        <w:rFonts w:hint="default"/>
        <w:b/>
        <w:bCs/>
        <w:color w:val="auto"/>
        <w:sz w:val="20"/>
      </w:rPr>
    </w:lvl>
    <w:lvl w:ilvl="2">
      <w:start w:val="1"/>
      <w:numFmt w:val="upperRoman"/>
      <w:lvlText w:val="%3."/>
      <w:lvlJc w:val="right"/>
      <w:pPr>
        <w:ind w:left="2160" w:hanging="360"/>
      </w:pPr>
      <w:rPr>
        <w:rFonts w:hint="default"/>
        <w:b/>
        <w:bCs/>
        <w:color w:val="auto"/>
        <w:sz w:val="20"/>
      </w:rPr>
    </w:lvl>
    <w:lvl w:ilvl="3">
      <w:start w:val="1"/>
      <w:numFmt w:val="lowerLetter"/>
      <w:lvlText w:val="%4)"/>
      <w:lvlJc w:val="left"/>
      <w:pPr>
        <w:ind w:left="2880" w:hanging="360"/>
      </w:pPr>
      <w:rPr>
        <w:rFonts w:hint="default"/>
        <w:b/>
        <w:bCs/>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73D95"/>
    <w:multiLevelType w:val="multilevel"/>
    <w:tmpl w:val="D8085B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bCs/>
      </w:rPr>
    </w:lvl>
    <w:lvl w:ilvl="2">
      <w:start w:val="1"/>
      <w:numFmt w:val="lowerLetter"/>
      <w:lvlText w:val="%3."/>
      <w:lvlJc w:val="left"/>
      <w:pPr>
        <w:ind w:left="2160" w:hanging="360"/>
      </w:pPr>
      <w:rPr>
        <w:b/>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26E68"/>
    <w:multiLevelType w:val="multilevel"/>
    <w:tmpl w:val="A008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14F90"/>
    <w:multiLevelType w:val="multilevel"/>
    <w:tmpl w:val="C24A49E4"/>
    <w:lvl w:ilvl="0">
      <w:start w:val="1"/>
      <w:numFmt w:val="decimal"/>
      <w:lvlText w:val="%1."/>
      <w:lvlJc w:val="left"/>
      <w:pPr>
        <w:tabs>
          <w:tab w:val="num" w:pos="720"/>
        </w:tabs>
        <w:ind w:left="720" w:hanging="360"/>
      </w:pPr>
      <w:rPr>
        <w:rFonts w:hint="default"/>
        <w:b/>
        <w:bCs/>
        <w:sz w:val="20"/>
      </w:rPr>
    </w:lvl>
    <w:lvl w:ilvl="1">
      <w:start w:val="1"/>
      <w:numFmt w:val="lowerLetter"/>
      <w:lvlText w:val="%2."/>
      <w:lvlJc w:val="left"/>
      <w:pPr>
        <w:ind w:left="1440" w:hanging="360"/>
      </w:pPr>
      <w:rPr>
        <w:rFonts w:hint="default"/>
        <w:b/>
        <w:bCs/>
        <w:color w:val="auto"/>
        <w:sz w:val="20"/>
      </w:rPr>
    </w:lvl>
    <w:lvl w:ilvl="2">
      <w:start w:val="1"/>
      <w:numFmt w:val="bullet"/>
      <w:lvlText w:val=""/>
      <w:lvlJc w:val="left"/>
      <w:pPr>
        <w:tabs>
          <w:tab w:val="num" w:pos="2160"/>
        </w:tabs>
        <w:ind w:left="2160" w:hanging="360"/>
      </w:pPr>
      <w:rPr>
        <w:rFonts w:ascii="Wingdings" w:hAnsi="Wingdings" w:hint="default"/>
        <w:color w:val="auto"/>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27D95"/>
    <w:multiLevelType w:val="multilevel"/>
    <w:tmpl w:val="11FC749E"/>
    <w:lvl w:ilvl="0">
      <w:start w:val="1"/>
      <w:numFmt w:val="decimal"/>
      <w:lvlText w:val="%1."/>
      <w:lvlJc w:val="left"/>
      <w:pPr>
        <w:tabs>
          <w:tab w:val="num" w:pos="720"/>
        </w:tabs>
        <w:ind w:left="720" w:hanging="360"/>
      </w:pPr>
      <w:rPr>
        <w:rFonts w:hint="default"/>
        <w:b/>
        <w:bCs/>
        <w:sz w:val="20"/>
      </w:rPr>
    </w:lvl>
    <w:lvl w:ilvl="1">
      <w:start w:val="1"/>
      <w:numFmt w:val="lowerLetter"/>
      <w:lvlText w:val="%2."/>
      <w:lvlJc w:val="left"/>
      <w:pPr>
        <w:ind w:left="1440" w:hanging="360"/>
      </w:pPr>
      <w:rPr>
        <w:rFonts w:hint="default"/>
        <w:b/>
        <w:bCs/>
        <w:color w:val="auto"/>
        <w:sz w:val="20"/>
      </w:rPr>
    </w:lvl>
    <w:lvl w:ilvl="2">
      <w:start w:val="1"/>
      <w:numFmt w:val="upperRoman"/>
      <w:lvlText w:val="%3."/>
      <w:lvlJc w:val="right"/>
      <w:pPr>
        <w:ind w:left="2160" w:hanging="360"/>
      </w:pPr>
      <w:rPr>
        <w:rFonts w:hint="default"/>
        <w:b/>
        <w:bCs/>
        <w:color w:val="auto"/>
        <w:sz w:val="20"/>
      </w:rPr>
    </w:lvl>
    <w:lvl w:ilvl="3">
      <w:start w:val="1"/>
      <w:numFmt w:val="lowerLetter"/>
      <w:lvlText w:val="%4)"/>
      <w:lvlJc w:val="left"/>
      <w:pPr>
        <w:ind w:left="2880" w:hanging="360"/>
      </w:pPr>
      <w:rPr>
        <w:rFonts w:hint="default"/>
        <w:b/>
        <w:bCs/>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C08DE"/>
    <w:multiLevelType w:val="multilevel"/>
    <w:tmpl w:val="9EDE3D4A"/>
    <w:lvl w:ilvl="0">
      <w:start w:val="1"/>
      <w:numFmt w:val="decimal"/>
      <w:lvlText w:val="%1."/>
      <w:lvlJc w:val="left"/>
      <w:pPr>
        <w:tabs>
          <w:tab w:val="num" w:pos="720"/>
        </w:tabs>
        <w:ind w:left="720" w:hanging="360"/>
      </w:pPr>
      <w:rPr>
        <w:rFonts w:hint="default"/>
        <w:b/>
        <w:bCs/>
        <w:sz w:val="20"/>
      </w:rPr>
    </w:lvl>
    <w:lvl w:ilvl="1">
      <w:start w:val="1"/>
      <w:numFmt w:val="lowerLetter"/>
      <w:lvlText w:val="%2."/>
      <w:lvlJc w:val="left"/>
      <w:pPr>
        <w:ind w:left="1440" w:hanging="360"/>
      </w:pPr>
      <w:rPr>
        <w:rFonts w:hint="default"/>
        <w:b/>
        <w:bCs/>
        <w:color w:val="auto"/>
        <w:sz w:val="20"/>
      </w:rPr>
    </w:lvl>
    <w:lvl w:ilvl="2">
      <w:start w:val="1"/>
      <w:numFmt w:val="bullet"/>
      <w:lvlText w:val=""/>
      <w:lvlJc w:val="left"/>
      <w:pPr>
        <w:tabs>
          <w:tab w:val="num" w:pos="2160"/>
        </w:tabs>
        <w:ind w:left="2160" w:hanging="360"/>
      </w:pPr>
      <w:rPr>
        <w:rFonts w:ascii="Wingdings" w:hAnsi="Wingdings" w:hint="default"/>
        <w:b/>
        <w:bCs/>
        <w:color w:val="auto"/>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465A1"/>
    <w:multiLevelType w:val="multilevel"/>
    <w:tmpl w:val="3CF2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42FA0"/>
    <w:multiLevelType w:val="multilevel"/>
    <w:tmpl w:val="11FC749E"/>
    <w:lvl w:ilvl="0">
      <w:start w:val="1"/>
      <w:numFmt w:val="decimal"/>
      <w:lvlText w:val="%1."/>
      <w:lvlJc w:val="left"/>
      <w:pPr>
        <w:tabs>
          <w:tab w:val="num" w:pos="720"/>
        </w:tabs>
        <w:ind w:left="720" w:hanging="360"/>
      </w:pPr>
      <w:rPr>
        <w:rFonts w:hint="default"/>
        <w:b/>
        <w:bCs/>
        <w:sz w:val="20"/>
      </w:rPr>
    </w:lvl>
    <w:lvl w:ilvl="1">
      <w:start w:val="1"/>
      <w:numFmt w:val="lowerLetter"/>
      <w:lvlText w:val="%2."/>
      <w:lvlJc w:val="left"/>
      <w:pPr>
        <w:ind w:left="1440" w:hanging="360"/>
      </w:pPr>
      <w:rPr>
        <w:rFonts w:hint="default"/>
        <w:b/>
        <w:bCs/>
        <w:color w:val="auto"/>
        <w:sz w:val="20"/>
      </w:rPr>
    </w:lvl>
    <w:lvl w:ilvl="2">
      <w:start w:val="1"/>
      <w:numFmt w:val="upperRoman"/>
      <w:lvlText w:val="%3."/>
      <w:lvlJc w:val="right"/>
      <w:pPr>
        <w:ind w:left="2160" w:hanging="360"/>
      </w:pPr>
      <w:rPr>
        <w:b/>
        <w:bCs/>
        <w:color w:val="auto"/>
      </w:rPr>
    </w:lvl>
    <w:lvl w:ilvl="3">
      <w:start w:val="1"/>
      <w:numFmt w:val="lowerLetter"/>
      <w:lvlText w:val="%4)"/>
      <w:lvlJc w:val="left"/>
      <w:pPr>
        <w:ind w:left="2880" w:hanging="360"/>
      </w:pPr>
      <w:rPr>
        <w:b/>
        <w:bCs/>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26D29"/>
    <w:multiLevelType w:val="multilevel"/>
    <w:tmpl w:val="11FC749E"/>
    <w:lvl w:ilvl="0">
      <w:start w:val="1"/>
      <w:numFmt w:val="decimal"/>
      <w:lvlText w:val="%1."/>
      <w:lvlJc w:val="left"/>
      <w:pPr>
        <w:tabs>
          <w:tab w:val="num" w:pos="720"/>
        </w:tabs>
        <w:ind w:left="720" w:hanging="360"/>
      </w:pPr>
      <w:rPr>
        <w:rFonts w:hint="default"/>
        <w:b/>
        <w:bCs/>
        <w:sz w:val="20"/>
      </w:rPr>
    </w:lvl>
    <w:lvl w:ilvl="1">
      <w:start w:val="1"/>
      <w:numFmt w:val="lowerLetter"/>
      <w:lvlText w:val="%2."/>
      <w:lvlJc w:val="left"/>
      <w:pPr>
        <w:ind w:left="1440" w:hanging="360"/>
      </w:pPr>
      <w:rPr>
        <w:rFonts w:hint="default"/>
        <w:b/>
        <w:bCs/>
        <w:color w:val="auto"/>
        <w:sz w:val="20"/>
      </w:rPr>
    </w:lvl>
    <w:lvl w:ilvl="2">
      <w:start w:val="1"/>
      <w:numFmt w:val="upperRoman"/>
      <w:lvlText w:val="%3."/>
      <w:lvlJc w:val="right"/>
      <w:pPr>
        <w:ind w:left="2160" w:hanging="360"/>
      </w:pPr>
      <w:rPr>
        <w:rFonts w:hint="default"/>
        <w:b/>
        <w:bCs/>
        <w:color w:val="auto"/>
        <w:sz w:val="20"/>
      </w:rPr>
    </w:lvl>
    <w:lvl w:ilvl="3">
      <w:start w:val="1"/>
      <w:numFmt w:val="lowerLetter"/>
      <w:lvlText w:val="%4)"/>
      <w:lvlJc w:val="left"/>
      <w:pPr>
        <w:ind w:left="2880" w:hanging="360"/>
      </w:pPr>
      <w:rPr>
        <w:rFonts w:hint="default"/>
        <w:b/>
        <w:bCs/>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946FC7"/>
    <w:multiLevelType w:val="multilevel"/>
    <w:tmpl w:val="11FC749E"/>
    <w:lvl w:ilvl="0">
      <w:start w:val="1"/>
      <w:numFmt w:val="decimal"/>
      <w:lvlText w:val="%1."/>
      <w:lvlJc w:val="left"/>
      <w:pPr>
        <w:tabs>
          <w:tab w:val="num" w:pos="720"/>
        </w:tabs>
        <w:ind w:left="720" w:hanging="360"/>
      </w:pPr>
      <w:rPr>
        <w:rFonts w:hint="default"/>
        <w:b/>
        <w:bCs/>
        <w:sz w:val="20"/>
      </w:rPr>
    </w:lvl>
    <w:lvl w:ilvl="1">
      <w:start w:val="1"/>
      <w:numFmt w:val="lowerLetter"/>
      <w:lvlText w:val="%2."/>
      <w:lvlJc w:val="left"/>
      <w:pPr>
        <w:ind w:left="1440" w:hanging="360"/>
      </w:pPr>
      <w:rPr>
        <w:rFonts w:hint="default"/>
        <w:b/>
        <w:bCs/>
        <w:color w:val="auto"/>
        <w:sz w:val="20"/>
      </w:rPr>
    </w:lvl>
    <w:lvl w:ilvl="2">
      <w:start w:val="1"/>
      <w:numFmt w:val="upperRoman"/>
      <w:lvlText w:val="%3."/>
      <w:lvlJc w:val="right"/>
      <w:pPr>
        <w:ind w:left="2160" w:hanging="360"/>
      </w:pPr>
      <w:rPr>
        <w:rFonts w:hint="default"/>
        <w:b/>
        <w:bCs/>
        <w:color w:val="auto"/>
        <w:sz w:val="20"/>
      </w:rPr>
    </w:lvl>
    <w:lvl w:ilvl="3">
      <w:start w:val="1"/>
      <w:numFmt w:val="lowerLetter"/>
      <w:lvlText w:val="%4)"/>
      <w:lvlJc w:val="left"/>
      <w:pPr>
        <w:ind w:left="2880" w:hanging="360"/>
      </w:pPr>
      <w:rPr>
        <w:rFonts w:hint="default"/>
        <w:b/>
        <w:bCs/>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815AE"/>
    <w:multiLevelType w:val="hybridMultilevel"/>
    <w:tmpl w:val="B7000A84"/>
    <w:lvl w:ilvl="0" w:tplc="50540B88">
      <w:start w:val="1"/>
      <w:numFmt w:val="decimal"/>
      <w:lvlText w:val="%1."/>
      <w:lvlJc w:val="left"/>
      <w:pPr>
        <w:ind w:left="720" w:hanging="360"/>
      </w:pPr>
      <w:rPr>
        <w:rFonts w:hint="default"/>
        <w:b/>
        <w:bC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1B64D0"/>
    <w:multiLevelType w:val="multilevel"/>
    <w:tmpl w:val="8FC6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6256C"/>
    <w:multiLevelType w:val="multilevel"/>
    <w:tmpl w:val="B5506C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6439">
    <w:abstractNumId w:val="18"/>
  </w:num>
  <w:num w:numId="2" w16cid:durableId="29190233">
    <w:abstractNumId w:val="7"/>
  </w:num>
  <w:num w:numId="3" w16cid:durableId="1152673685">
    <w:abstractNumId w:val="17"/>
  </w:num>
  <w:num w:numId="4" w16cid:durableId="1232421869">
    <w:abstractNumId w:val="1"/>
  </w:num>
  <w:num w:numId="5" w16cid:durableId="1976834397">
    <w:abstractNumId w:val="9"/>
  </w:num>
  <w:num w:numId="6" w16cid:durableId="1647664986">
    <w:abstractNumId w:val="8"/>
  </w:num>
  <w:num w:numId="7" w16cid:durableId="636181459">
    <w:abstractNumId w:val="13"/>
  </w:num>
  <w:num w:numId="8" w16cid:durableId="696270656">
    <w:abstractNumId w:val="22"/>
  </w:num>
  <w:num w:numId="9" w16cid:durableId="38359691">
    <w:abstractNumId w:val="12"/>
  </w:num>
  <w:num w:numId="10" w16cid:durableId="1910309520">
    <w:abstractNumId w:val="19"/>
  </w:num>
  <w:num w:numId="11" w16cid:durableId="124130450">
    <w:abstractNumId w:val="23"/>
  </w:num>
  <w:num w:numId="12" w16cid:durableId="131211717">
    <w:abstractNumId w:val="15"/>
  </w:num>
  <w:num w:numId="13" w16cid:durableId="1553884646">
    <w:abstractNumId w:val="11"/>
  </w:num>
  <w:num w:numId="14" w16cid:durableId="534780370">
    <w:abstractNumId w:val="20"/>
  </w:num>
  <w:num w:numId="15" w16cid:durableId="1691643924">
    <w:abstractNumId w:val="21"/>
  </w:num>
  <w:num w:numId="16" w16cid:durableId="1616599322">
    <w:abstractNumId w:val="16"/>
  </w:num>
  <w:num w:numId="17" w16cid:durableId="558051962">
    <w:abstractNumId w:val="6"/>
  </w:num>
  <w:num w:numId="18" w16cid:durableId="1858346035">
    <w:abstractNumId w:val="2"/>
  </w:num>
  <w:num w:numId="19" w16cid:durableId="1107576806">
    <w:abstractNumId w:val="10"/>
  </w:num>
  <w:num w:numId="20" w16cid:durableId="85466241">
    <w:abstractNumId w:val="3"/>
  </w:num>
  <w:num w:numId="21" w16cid:durableId="150877325">
    <w:abstractNumId w:val="4"/>
  </w:num>
  <w:num w:numId="22" w16cid:durableId="800924107">
    <w:abstractNumId w:val="0"/>
  </w:num>
  <w:num w:numId="23" w16cid:durableId="1486704870">
    <w:abstractNumId w:val="14"/>
  </w:num>
  <w:num w:numId="24" w16cid:durableId="1639265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5D"/>
    <w:rsid w:val="0001761E"/>
    <w:rsid w:val="000429F5"/>
    <w:rsid w:val="000A0BDC"/>
    <w:rsid w:val="000A328D"/>
    <w:rsid w:val="000C6160"/>
    <w:rsid w:val="000C6EED"/>
    <w:rsid w:val="000E4952"/>
    <w:rsid w:val="000F32EC"/>
    <w:rsid w:val="00103B11"/>
    <w:rsid w:val="001060D2"/>
    <w:rsid w:val="00107EB2"/>
    <w:rsid w:val="00110471"/>
    <w:rsid w:val="0012189A"/>
    <w:rsid w:val="001232BE"/>
    <w:rsid w:val="0013606F"/>
    <w:rsid w:val="001526DF"/>
    <w:rsid w:val="00154007"/>
    <w:rsid w:val="0016535A"/>
    <w:rsid w:val="00171854"/>
    <w:rsid w:val="00190EB6"/>
    <w:rsid w:val="001946C6"/>
    <w:rsid w:val="001A080E"/>
    <w:rsid w:val="001B76D1"/>
    <w:rsid w:val="001E3B57"/>
    <w:rsid w:val="00200062"/>
    <w:rsid w:val="00222425"/>
    <w:rsid w:val="00227A34"/>
    <w:rsid w:val="00240533"/>
    <w:rsid w:val="00240A8E"/>
    <w:rsid w:val="00253689"/>
    <w:rsid w:val="00271B06"/>
    <w:rsid w:val="00293885"/>
    <w:rsid w:val="002966C5"/>
    <w:rsid w:val="002A270D"/>
    <w:rsid w:val="002A2C7F"/>
    <w:rsid w:val="002A4CDC"/>
    <w:rsid w:val="002A6C82"/>
    <w:rsid w:val="002D2CB5"/>
    <w:rsid w:val="002E0D81"/>
    <w:rsid w:val="0031032D"/>
    <w:rsid w:val="003163D5"/>
    <w:rsid w:val="00327935"/>
    <w:rsid w:val="00353BAB"/>
    <w:rsid w:val="003869C9"/>
    <w:rsid w:val="00386B05"/>
    <w:rsid w:val="00390BA8"/>
    <w:rsid w:val="003B32EE"/>
    <w:rsid w:val="003C4C64"/>
    <w:rsid w:val="003D2570"/>
    <w:rsid w:val="003D481A"/>
    <w:rsid w:val="003E23CD"/>
    <w:rsid w:val="003E5F5D"/>
    <w:rsid w:val="00416FEF"/>
    <w:rsid w:val="0041747A"/>
    <w:rsid w:val="004355D7"/>
    <w:rsid w:val="00440404"/>
    <w:rsid w:val="00452FB0"/>
    <w:rsid w:val="00456714"/>
    <w:rsid w:val="0048798A"/>
    <w:rsid w:val="004B7D42"/>
    <w:rsid w:val="004E1712"/>
    <w:rsid w:val="004F78ED"/>
    <w:rsid w:val="00504769"/>
    <w:rsid w:val="00521B6D"/>
    <w:rsid w:val="00526DD7"/>
    <w:rsid w:val="0054559D"/>
    <w:rsid w:val="00564C74"/>
    <w:rsid w:val="005744A7"/>
    <w:rsid w:val="00585C0C"/>
    <w:rsid w:val="005A50A1"/>
    <w:rsid w:val="005D1071"/>
    <w:rsid w:val="005D2E94"/>
    <w:rsid w:val="005D56FB"/>
    <w:rsid w:val="005E0428"/>
    <w:rsid w:val="00636270"/>
    <w:rsid w:val="00660620"/>
    <w:rsid w:val="006740EA"/>
    <w:rsid w:val="0068626E"/>
    <w:rsid w:val="0069668A"/>
    <w:rsid w:val="006A0DBF"/>
    <w:rsid w:val="006B110A"/>
    <w:rsid w:val="006B5E7E"/>
    <w:rsid w:val="006C5C94"/>
    <w:rsid w:val="006D6A65"/>
    <w:rsid w:val="006E2484"/>
    <w:rsid w:val="006F4891"/>
    <w:rsid w:val="006F4FAF"/>
    <w:rsid w:val="006F75F5"/>
    <w:rsid w:val="0071376F"/>
    <w:rsid w:val="0071682A"/>
    <w:rsid w:val="00725CC4"/>
    <w:rsid w:val="00732892"/>
    <w:rsid w:val="00751EA7"/>
    <w:rsid w:val="00782515"/>
    <w:rsid w:val="007907E5"/>
    <w:rsid w:val="007A61DD"/>
    <w:rsid w:val="007C6A1B"/>
    <w:rsid w:val="007D2E18"/>
    <w:rsid w:val="007F1BE7"/>
    <w:rsid w:val="00804B57"/>
    <w:rsid w:val="00821160"/>
    <w:rsid w:val="00832179"/>
    <w:rsid w:val="00832B47"/>
    <w:rsid w:val="00843422"/>
    <w:rsid w:val="00844AF0"/>
    <w:rsid w:val="00861058"/>
    <w:rsid w:val="00861C70"/>
    <w:rsid w:val="00873D31"/>
    <w:rsid w:val="00891332"/>
    <w:rsid w:val="008C1494"/>
    <w:rsid w:val="008C1CED"/>
    <w:rsid w:val="008C3293"/>
    <w:rsid w:val="008D045E"/>
    <w:rsid w:val="008F571B"/>
    <w:rsid w:val="00912BE6"/>
    <w:rsid w:val="00927BB5"/>
    <w:rsid w:val="009309BB"/>
    <w:rsid w:val="00952ADE"/>
    <w:rsid w:val="00982263"/>
    <w:rsid w:val="0098294E"/>
    <w:rsid w:val="00983300"/>
    <w:rsid w:val="0099213C"/>
    <w:rsid w:val="009A01C5"/>
    <w:rsid w:val="009A42A2"/>
    <w:rsid w:val="009B6066"/>
    <w:rsid w:val="009B73AB"/>
    <w:rsid w:val="009C0A40"/>
    <w:rsid w:val="009C31E4"/>
    <w:rsid w:val="009D0991"/>
    <w:rsid w:val="009E4271"/>
    <w:rsid w:val="009E4D1A"/>
    <w:rsid w:val="009E4DF8"/>
    <w:rsid w:val="009F0DAB"/>
    <w:rsid w:val="009F7FA2"/>
    <w:rsid w:val="00A12527"/>
    <w:rsid w:val="00A17447"/>
    <w:rsid w:val="00A43B42"/>
    <w:rsid w:val="00A60C20"/>
    <w:rsid w:val="00A812BD"/>
    <w:rsid w:val="00A82D24"/>
    <w:rsid w:val="00A8472F"/>
    <w:rsid w:val="00A87435"/>
    <w:rsid w:val="00A932C8"/>
    <w:rsid w:val="00AA3DDF"/>
    <w:rsid w:val="00AA65C4"/>
    <w:rsid w:val="00AC250C"/>
    <w:rsid w:val="00AC7D88"/>
    <w:rsid w:val="00AD250E"/>
    <w:rsid w:val="00AE2BB4"/>
    <w:rsid w:val="00B14756"/>
    <w:rsid w:val="00B161B9"/>
    <w:rsid w:val="00B234CA"/>
    <w:rsid w:val="00B32EF8"/>
    <w:rsid w:val="00B57A35"/>
    <w:rsid w:val="00B63EC9"/>
    <w:rsid w:val="00B72A30"/>
    <w:rsid w:val="00B96F12"/>
    <w:rsid w:val="00BA2D28"/>
    <w:rsid w:val="00BA3199"/>
    <w:rsid w:val="00BC22DA"/>
    <w:rsid w:val="00BC3CA8"/>
    <w:rsid w:val="00BE57F5"/>
    <w:rsid w:val="00BF3FB2"/>
    <w:rsid w:val="00C13080"/>
    <w:rsid w:val="00C21D30"/>
    <w:rsid w:val="00C32EE9"/>
    <w:rsid w:val="00C37657"/>
    <w:rsid w:val="00C433CD"/>
    <w:rsid w:val="00C76E2D"/>
    <w:rsid w:val="00C90D08"/>
    <w:rsid w:val="00C91F26"/>
    <w:rsid w:val="00CA4C25"/>
    <w:rsid w:val="00CB5710"/>
    <w:rsid w:val="00CC3EA9"/>
    <w:rsid w:val="00CD6868"/>
    <w:rsid w:val="00CE3F68"/>
    <w:rsid w:val="00CF2A71"/>
    <w:rsid w:val="00D00E43"/>
    <w:rsid w:val="00D034CC"/>
    <w:rsid w:val="00D4377F"/>
    <w:rsid w:val="00D606C3"/>
    <w:rsid w:val="00D669F6"/>
    <w:rsid w:val="00D746FF"/>
    <w:rsid w:val="00D754BB"/>
    <w:rsid w:val="00D763EA"/>
    <w:rsid w:val="00D872C3"/>
    <w:rsid w:val="00D97BA4"/>
    <w:rsid w:val="00DA7726"/>
    <w:rsid w:val="00DB6E75"/>
    <w:rsid w:val="00DC2684"/>
    <w:rsid w:val="00DC276D"/>
    <w:rsid w:val="00DC2BD8"/>
    <w:rsid w:val="00DD269A"/>
    <w:rsid w:val="00DE7AAA"/>
    <w:rsid w:val="00E01092"/>
    <w:rsid w:val="00E1115C"/>
    <w:rsid w:val="00E170CA"/>
    <w:rsid w:val="00E22940"/>
    <w:rsid w:val="00E3173E"/>
    <w:rsid w:val="00E44B1D"/>
    <w:rsid w:val="00E45C03"/>
    <w:rsid w:val="00E47842"/>
    <w:rsid w:val="00E80614"/>
    <w:rsid w:val="00E941B9"/>
    <w:rsid w:val="00EB1DC7"/>
    <w:rsid w:val="00EE17D2"/>
    <w:rsid w:val="00F057A8"/>
    <w:rsid w:val="00F11B69"/>
    <w:rsid w:val="00F31803"/>
    <w:rsid w:val="00F41853"/>
    <w:rsid w:val="00F67B6A"/>
    <w:rsid w:val="00F80EC3"/>
    <w:rsid w:val="00F8784E"/>
    <w:rsid w:val="00F87ADD"/>
    <w:rsid w:val="00FB0962"/>
    <w:rsid w:val="00FD1077"/>
    <w:rsid w:val="00FD4D2E"/>
    <w:rsid w:val="00FE11F7"/>
    <w:rsid w:val="00FE64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827C"/>
  <w15:chartTrackingRefBased/>
  <w15:docId w15:val="{5299B075-EFF7-47E7-8500-FEE9E28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F5D"/>
    <w:rPr>
      <w:rFonts w:eastAsiaTheme="majorEastAsia" w:cstheme="majorBidi"/>
      <w:color w:val="272727" w:themeColor="text1" w:themeTint="D8"/>
    </w:rPr>
  </w:style>
  <w:style w:type="paragraph" w:styleId="Title">
    <w:name w:val="Title"/>
    <w:basedOn w:val="Normal"/>
    <w:next w:val="Normal"/>
    <w:link w:val="TitleChar"/>
    <w:uiPriority w:val="10"/>
    <w:qFormat/>
    <w:rsid w:val="003E5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F5D"/>
    <w:pPr>
      <w:spacing w:before="160"/>
      <w:jc w:val="center"/>
    </w:pPr>
    <w:rPr>
      <w:i/>
      <w:iCs/>
      <w:color w:val="404040" w:themeColor="text1" w:themeTint="BF"/>
    </w:rPr>
  </w:style>
  <w:style w:type="character" w:customStyle="1" w:styleId="QuoteChar">
    <w:name w:val="Quote Char"/>
    <w:basedOn w:val="DefaultParagraphFont"/>
    <w:link w:val="Quote"/>
    <w:uiPriority w:val="29"/>
    <w:rsid w:val="003E5F5D"/>
    <w:rPr>
      <w:i/>
      <w:iCs/>
      <w:color w:val="404040" w:themeColor="text1" w:themeTint="BF"/>
    </w:rPr>
  </w:style>
  <w:style w:type="paragraph" w:styleId="ListParagraph">
    <w:name w:val="List Paragraph"/>
    <w:basedOn w:val="Normal"/>
    <w:uiPriority w:val="34"/>
    <w:qFormat/>
    <w:rsid w:val="003E5F5D"/>
    <w:pPr>
      <w:ind w:left="720"/>
      <w:contextualSpacing/>
    </w:pPr>
  </w:style>
  <w:style w:type="character" w:styleId="IntenseEmphasis">
    <w:name w:val="Intense Emphasis"/>
    <w:basedOn w:val="DefaultParagraphFont"/>
    <w:uiPriority w:val="21"/>
    <w:qFormat/>
    <w:rsid w:val="003E5F5D"/>
    <w:rPr>
      <w:i/>
      <w:iCs/>
      <w:color w:val="0F4761" w:themeColor="accent1" w:themeShade="BF"/>
    </w:rPr>
  </w:style>
  <w:style w:type="paragraph" w:styleId="IntenseQuote">
    <w:name w:val="Intense Quote"/>
    <w:basedOn w:val="Normal"/>
    <w:next w:val="Normal"/>
    <w:link w:val="IntenseQuoteChar"/>
    <w:uiPriority w:val="30"/>
    <w:qFormat/>
    <w:rsid w:val="003E5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F5D"/>
    <w:rPr>
      <w:i/>
      <w:iCs/>
      <w:color w:val="0F4761" w:themeColor="accent1" w:themeShade="BF"/>
    </w:rPr>
  </w:style>
  <w:style w:type="character" w:styleId="IntenseReference">
    <w:name w:val="Intense Reference"/>
    <w:basedOn w:val="DefaultParagraphFont"/>
    <w:uiPriority w:val="32"/>
    <w:qFormat/>
    <w:rsid w:val="003E5F5D"/>
    <w:rPr>
      <w:b/>
      <w:bCs/>
      <w:smallCaps/>
      <w:color w:val="0F4761" w:themeColor="accent1" w:themeShade="BF"/>
      <w:spacing w:val="5"/>
    </w:rPr>
  </w:style>
  <w:style w:type="character" w:styleId="Hyperlink">
    <w:name w:val="Hyperlink"/>
    <w:basedOn w:val="DefaultParagraphFont"/>
    <w:uiPriority w:val="99"/>
    <w:unhideWhenUsed/>
    <w:rsid w:val="003E5F5D"/>
    <w:rPr>
      <w:color w:val="467886" w:themeColor="hyperlink"/>
      <w:u w:val="single"/>
    </w:rPr>
  </w:style>
  <w:style w:type="paragraph" w:styleId="CommentText">
    <w:name w:val="annotation text"/>
    <w:basedOn w:val="Normal"/>
    <w:link w:val="CommentTextChar"/>
    <w:uiPriority w:val="99"/>
    <w:unhideWhenUsed/>
    <w:rsid w:val="003E5F5D"/>
    <w:pPr>
      <w:spacing w:line="240" w:lineRule="auto"/>
    </w:pPr>
    <w:rPr>
      <w:sz w:val="20"/>
      <w:szCs w:val="20"/>
    </w:rPr>
  </w:style>
  <w:style w:type="character" w:customStyle="1" w:styleId="CommentTextChar">
    <w:name w:val="Comment Text Char"/>
    <w:basedOn w:val="DefaultParagraphFont"/>
    <w:link w:val="CommentText"/>
    <w:uiPriority w:val="99"/>
    <w:rsid w:val="003E5F5D"/>
    <w:rPr>
      <w:sz w:val="20"/>
      <w:szCs w:val="20"/>
    </w:rPr>
  </w:style>
  <w:style w:type="character" w:styleId="CommentReference">
    <w:name w:val="annotation reference"/>
    <w:basedOn w:val="DefaultParagraphFont"/>
    <w:uiPriority w:val="99"/>
    <w:semiHidden/>
    <w:unhideWhenUsed/>
    <w:rsid w:val="003E5F5D"/>
    <w:rPr>
      <w:sz w:val="16"/>
      <w:szCs w:val="16"/>
    </w:rPr>
  </w:style>
  <w:style w:type="paragraph" w:styleId="CommentSubject">
    <w:name w:val="annotation subject"/>
    <w:basedOn w:val="CommentText"/>
    <w:next w:val="CommentText"/>
    <w:link w:val="CommentSubjectChar"/>
    <w:uiPriority w:val="99"/>
    <w:semiHidden/>
    <w:unhideWhenUsed/>
    <w:rsid w:val="00912BE6"/>
    <w:rPr>
      <w:b/>
      <w:bCs/>
    </w:rPr>
  </w:style>
  <w:style w:type="character" w:customStyle="1" w:styleId="CommentSubjectChar">
    <w:name w:val="Comment Subject Char"/>
    <w:basedOn w:val="CommentTextChar"/>
    <w:link w:val="CommentSubject"/>
    <w:uiPriority w:val="99"/>
    <w:semiHidden/>
    <w:rsid w:val="00912BE6"/>
    <w:rPr>
      <w:b/>
      <w:bCs/>
      <w:sz w:val="20"/>
      <w:szCs w:val="20"/>
    </w:rPr>
  </w:style>
  <w:style w:type="character" w:styleId="UnresolvedMention">
    <w:name w:val="Unresolved Mention"/>
    <w:basedOn w:val="DefaultParagraphFont"/>
    <w:uiPriority w:val="99"/>
    <w:semiHidden/>
    <w:unhideWhenUsed/>
    <w:rsid w:val="00912BE6"/>
    <w:rPr>
      <w:color w:val="605E5C"/>
      <w:shd w:val="clear" w:color="auto" w:fill="E1DFDD"/>
    </w:rPr>
  </w:style>
  <w:style w:type="paragraph" w:styleId="FootnoteText">
    <w:name w:val="footnote text"/>
    <w:basedOn w:val="Normal"/>
    <w:link w:val="FootnoteTextChar"/>
    <w:uiPriority w:val="99"/>
    <w:semiHidden/>
    <w:unhideWhenUsed/>
    <w:rsid w:val="00BE5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7F5"/>
    <w:rPr>
      <w:sz w:val="20"/>
      <w:szCs w:val="20"/>
    </w:rPr>
  </w:style>
  <w:style w:type="character" w:styleId="FootnoteReference">
    <w:name w:val="footnote reference"/>
    <w:basedOn w:val="DefaultParagraphFont"/>
    <w:uiPriority w:val="99"/>
    <w:semiHidden/>
    <w:unhideWhenUsed/>
    <w:rsid w:val="00BE57F5"/>
    <w:rPr>
      <w:vertAlign w:val="superscript"/>
    </w:rPr>
  </w:style>
  <w:style w:type="paragraph" w:styleId="Revision">
    <w:name w:val="Revision"/>
    <w:hidden/>
    <w:uiPriority w:val="99"/>
    <w:semiHidden/>
    <w:rsid w:val="001A080E"/>
    <w:pPr>
      <w:spacing w:after="0" w:line="240" w:lineRule="auto"/>
    </w:pPr>
  </w:style>
  <w:style w:type="paragraph" w:styleId="Header">
    <w:name w:val="header"/>
    <w:basedOn w:val="Normal"/>
    <w:link w:val="HeaderChar"/>
    <w:uiPriority w:val="99"/>
    <w:semiHidden/>
    <w:unhideWhenUsed/>
    <w:rsid w:val="00A932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2C8"/>
  </w:style>
  <w:style w:type="paragraph" w:styleId="Footer">
    <w:name w:val="footer"/>
    <w:basedOn w:val="Normal"/>
    <w:link w:val="FooterChar"/>
    <w:uiPriority w:val="99"/>
    <w:semiHidden/>
    <w:unhideWhenUsed/>
    <w:rsid w:val="00A932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31870">
      <w:bodyDiv w:val="1"/>
      <w:marLeft w:val="0"/>
      <w:marRight w:val="0"/>
      <w:marTop w:val="0"/>
      <w:marBottom w:val="0"/>
      <w:divBdr>
        <w:top w:val="none" w:sz="0" w:space="0" w:color="auto"/>
        <w:left w:val="none" w:sz="0" w:space="0" w:color="auto"/>
        <w:bottom w:val="none" w:sz="0" w:space="0" w:color="auto"/>
        <w:right w:val="none" w:sz="0" w:space="0" w:color="auto"/>
      </w:divBdr>
    </w:div>
    <w:div w:id="603729964">
      <w:bodyDiv w:val="1"/>
      <w:marLeft w:val="0"/>
      <w:marRight w:val="0"/>
      <w:marTop w:val="0"/>
      <w:marBottom w:val="0"/>
      <w:divBdr>
        <w:top w:val="none" w:sz="0" w:space="0" w:color="auto"/>
        <w:left w:val="none" w:sz="0" w:space="0" w:color="auto"/>
        <w:bottom w:val="none" w:sz="0" w:space="0" w:color="auto"/>
        <w:right w:val="none" w:sz="0" w:space="0" w:color="auto"/>
      </w:divBdr>
    </w:div>
    <w:div w:id="949044866">
      <w:bodyDiv w:val="1"/>
      <w:marLeft w:val="0"/>
      <w:marRight w:val="0"/>
      <w:marTop w:val="0"/>
      <w:marBottom w:val="0"/>
      <w:divBdr>
        <w:top w:val="none" w:sz="0" w:space="0" w:color="auto"/>
        <w:left w:val="none" w:sz="0" w:space="0" w:color="auto"/>
        <w:bottom w:val="none" w:sz="0" w:space="0" w:color="auto"/>
        <w:right w:val="none" w:sz="0" w:space="0" w:color="auto"/>
      </w:divBdr>
    </w:div>
    <w:div w:id="1167131624">
      <w:bodyDiv w:val="1"/>
      <w:marLeft w:val="0"/>
      <w:marRight w:val="0"/>
      <w:marTop w:val="0"/>
      <w:marBottom w:val="0"/>
      <w:divBdr>
        <w:top w:val="none" w:sz="0" w:space="0" w:color="auto"/>
        <w:left w:val="none" w:sz="0" w:space="0" w:color="auto"/>
        <w:bottom w:val="none" w:sz="0" w:space="0" w:color="auto"/>
        <w:right w:val="none" w:sz="0" w:space="0" w:color="auto"/>
      </w:divBdr>
    </w:div>
    <w:div w:id="1296718299">
      <w:bodyDiv w:val="1"/>
      <w:marLeft w:val="0"/>
      <w:marRight w:val="0"/>
      <w:marTop w:val="0"/>
      <w:marBottom w:val="0"/>
      <w:divBdr>
        <w:top w:val="none" w:sz="0" w:space="0" w:color="auto"/>
        <w:left w:val="none" w:sz="0" w:space="0" w:color="auto"/>
        <w:bottom w:val="none" w:sz="0" w:space="0" w:color="auto"/>
        <w:right w:val="none" w:sz="0" w:space="0" w:color="auto"/>
      </w:divBdr>
    </w:div>
    <w:div w:id="14876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8093d68148a9969d2394f59/draft-nps-e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A059EA06B054BB84A897C9049A036" ma:contentTypeVersion="15" ma:contentTypeDescription="Create a new document." ma:contentTypeScope="" ma:versionID="4c6abdca78f52e2ad7e6581285750737">
  <xsd:schema xmlns:xsd="http://www.w3.org/2001/XMLSchema" xmlns:xs="http://www.w3.org/2001/XMLSchema" xmlns:p="http://schemas.microsoft.com/office/2006/metadata/properties" xmlns:ns2="f9f5c5f2-2f7c-46e8-a255-94727787dc87" xmlns:ns3="74debff7-a887-47bf-bb8c-32f09e9ee712" targetNamespace="http://schemas.microsoft.com/office/2006/metadata/properties" ma:root="true" ma:fieldsID="a39885f7998a313e54ad73dfd16e69c5" ns2:_="" ns3:_="">
    <xsd:import namespace="f9f5c5f2-2f7c-46e8-a255-94727787dc87"/>
    <xsd:import namespace="74debff7-a887-47bf-bb8c-32f09e9ee71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5c5f2-2f7c-46e8-a255-94727787d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657d74-732e-433c-980e-b2598630fc1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ebff7-a887-47bf-bb8c-32f09e9ee7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7a7e40-3c29-4043-938e-cf73a478ef9f}" ma:internalName="TaxCatchAll" ma:showField="CatchAllData" ma:web="74debff7-a887-47bf-bb8c-32f09e9ee7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f5c5f2-2f7c-46e8-a255-94727787dc87">
      <Terms xmlns="http://schemas.microsoft.com/office/infopath/2007/PartnerControls"/>
    </lcf76f155ced4ddcb4097134ff3c332f>
    <TaxCatchAll xmlns="74debff7-a887-47bf-bb8c-32f09e9ee7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7B3B1-36ED-465F-9F50-1E5A9B9E5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5c5f2-2f7c-46e8-a255-94727787dc87"/>
    <ds:schemaRef ds:uri="74debff7-a887-47bf-bb8c-32f09e9ee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E70B9-A0A0-41F3-AAA6-13474347C327}">
  <ds:schemaRefs>
    <ds:schemaRef ds:uri="http://schemas.microsoft.com/office/2006/metadata/properties"/>
    <ds:schemaRef ds:uri="http://schemas.microsoft.com/office/infopath/2007/PartnerControls"/>
    <ds:schemaRef ds:uri="f9f5c5f2-2f7c-46e8-a255-94727787dc87"/>
    <ds:schemaRef ds:uri="74debff7-a887-47bf-bb8c-32f09e9ee712"/>
  </ds:schemaRefs>
</ds:datastoreItem>
</file>

<file path=customXml/itemProps3.xml><?xml version="1.0" encoding="utf-8"?>
<ds:datastoreItem xmlns:ds="http://schemas.openxmlformats.org/officeDocument/2006/customXml" ds:itemID="{9CEE91BE-D58F-46EF-8A41-137CA55DAB81}">
  <ds:schemaRefs>
    <ds:schemaRef ds:uri="http://schemas.openxmlformats.org/officeDocument/2006/bibliography"/>
  </ds:schemaRefs>
</ds:datastoreItem>
</file>

<file path=customXml/itemProps4.xml><?xml version="1.0" encoding="utf-8"?>
<ds:datastoreItem xmlns:ds="http://schemas.openxmlformats.org/officeDocument/2006/customXml" ds:itemID="{7550AC3A-9AA0-4651-9C2A-F0AC4EF71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10806</CharactersWithSpaces>
  <SharedDoc>false</SharedDoc>
  <HLinks>
    <vt:vector size="6" baseType="variant">
      <vt:variant>
        <vt:i4>6946875</vt:i4>
      </vt:variant>
      <vt:variant>
        <vt:i4>0</vt:i4>
      </vt:variant>
      <vt:variant>
        <vt:i4>0</vt:i4>
      </vt:variant>
      <vt:variant>
        <vt:i4>5</vt:i4>
      </vt:variant>
      <vt:variant>
        <vt:lpwstr>https://assets.publishing.service.gov.uk/media/68093d68148a9969d2394f59/draft-nps-en-1.pdf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Roden</dc:creator>
  <cp:keywords/>
  <dc:description/>
  <cp:lastModifiedBy>Elisabeth Roden</cp:lastModifiedBy>
  <cp:revision>4</cp:revision>
  <dcterms:created xsi:type="dcterms:W3CDTF">2025-05-12T13:45:00Z</dcterms:created>
  <dcterms:modified xsi:type="dcterms:W3CDTF">2025-05-12T13:50:00Z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0x010100FC5A059EA06B054BB84A897C9049A036</vt:lpwstr>
  </property>
  <property fmtid="{D5CDD505-2E9C-101B-9397-08002B2CF9AE}" pid="3" name="MediaServiceImageTags">
    <vt:lpwstr/>
  </property>
</Properties>
</file>